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8C74" w14:textId="59D6AFC9" w:rsidR="003B4226" w:rsidRDefault="003B4226" w:rsidP="003B4226">
      <w:pPr>
        <w:tabs>
          <w:tab w:val="left" w:pos="2127"/>
        </w:tabs>
        <w:ind w:left="1276"/>
        <w:jc w:val="right"/>
        <w:rPr>
          <w:rFonts w:ascii="Ping LCG Regular" w:hAnsi="Ping LCG Regular"/>
          <w:sz w:val="22"/>
          <w:szCs w:val="22"/>
        </w:rPr>
      </w:pPr>
    </w:p>
    <w:p w14:paraId="155636D7" w14:textId="77777777" w:rsidR="007E6919" w:rsidRDefault="007E6919" w:rsidP="003B4226">
      <w:pPr>
        <w:tabs>
          <w:tab w:val="left" w:pos="2127"/>
        </w:tabs>
        <w:ind w:left="1276"/>
        <w:jc w:val="right"/>
        <w:rPr>
          <w:rFonts w:ascii="Ping LCG Regular" w:hAnsi="Ping LCG Regular"/>
          <w:sz w:val="22"/>
          <w:szCs w:val="22"/>
        </w:rPr>
      </w:pPr>
    </w:p>
    <w:p w14:paraId="78FEF6AF" w14:textId="1216F233" w:rsidR="003B4226" w:rsidRPr="003878E3" w:rsidRDefault="003B4226" w:rsidP="003B4226">
      <w:pPr>
        <w:tabs>
          <w:tab w:val="left" w:pos="2127"/>
        </w:tabs>
        <w:ind w:left="1276"/>
        <w:jc w:val="right"/>
        <w:rPr>
          <w:rFonts w:ascii="Ping LCG Regular" w:hAnsi="Ping LCG Regular"/>
          <w:sz w:val="22"/>
          <w:szCs w:val="22"/>
          <w:lang w:val="el-GR"/>
        </w:rPr>
      </w:pPr>
      <w:r w:rsidRPr="003878E3">
        <w:rPr>
          <w:rFonts w:ascii="Ping LCG Regular" w:hAnsi="Ping LCG Regular"/>
          <w:sz w:val="22"/>
          <w:szCs w:val="22"/>
          <w:lang w:val="el-GR"/>
        </w:rPr>
        <w:t>20 Μαΐου 2025</w:t>
      </w:r>
    </w:p>
    <w:p w14:paraId="684A9560" w14:textId="77777777" w:rsidR="003B4226" w:rsidRPr="00B460E7" w:rsidRDefault="003B4226" w:rsidP="003B4226">
      <w:pPr>
        <w:jc w:val="center"/>
        <w:rPr>
          <w:rFonts w:ascii="Ping LCG Regular" w:hAnsi="Ping LCG Regular" w:cstheme="minorHAnsi"/>
          <w:b/>
          <w:bCs/>
          <w:sz w:val="28"/>
          <w:szCs w:val="28"/>
          <w:highlight w:val="yellow"/>
          <w:lang w:val="el-GR"/>
        </w:rPr>
      </w:pPr>
    </w:p>
    <w:p w14:paraId="1051832E" w14:textId="3AA500A4" w:rsidR="003B4226" w:rsidRPr="009229EA" w:rsidRDefault="00F32F40" w:rsidP="003B4226">
      <w:pPr>
        <w:jc w:val="center"/>
        <w:rPr>
          <w:rFonts w:ascii="Ping LCG Regular" w:hAnsi="Ping LCG Regular" w:cstheme="minorHAnsi"/>
          <w:b/>
          <w:bCs/>
          <w:sz w:val="28"/>
          <w:szCs w:val="28"/>
          <w:lang w:val="el-GR"/>
        </w:rPr>
      </w:pPr>
      <w:r w:rsidRPr="009229EA">
        <w:rPr>
          <w:rFonts w:ascii="Ping LCG Regular" w:hAnsi="Ping LCG Regular" w:cstheme="minorHAnsi"/>
          <w:b/>
          <w:bCs/>
          <w:sz w:val="28"/>
          <w:szCs w:val="28"/>
          <w:lang w:val="el-GR"/>
        </w:rPr>
        <w:t>Ανθεκτικά</w:t>
      </w:r>
      <w:r w:rsidR="003B4226" w:rsidRPr="009229EA">
        <w:rPr>
          <w:rFonts w:ascii="Ping LCG Regular" w:hAnsi="Ping LCG Regular" w:cstheme="minorHAnsi"/>
          <w:b/>
          <w:bCs/>
          <w:sz w:val="28"/>
          <w:szCs w:val="28"/>
          <w:lang w:val="el-GR"/>
        </w:rPr>
        <w:t xml:space="preserve"> αποτελέσματα α΄ τριμήνου 2025 </w:t>
      </w:r>
    </w:p>
    <w:p w14:paraId="2222467E" w14:textId="77777777" w:rsidR="003B4226" w:rsidRPr="009229EA" w:rsidRDefault="003B4226" w:rsidP="003B4226">
      <w:pPr>
        <w:jc w:val="center"/>
        <w:rPr>
          <w:rFonts w:ascii="Ping LCG Regular" w:hAnsi="Ping LCG Regular" w:cstheme="minorHAnsi"/>
          <w:b/>
          <w:bCs/>
          <w:sz w:val="28"/>
          <w:szCs w:val="28"/>
          <w:lang w:val="el-GR"/>
        </w:rPr>
      </w:pPr>
      <w:r w:rsidRPr="009229EA">
        <w:rPr>
          <w:rFonts w:ascii="Ping LCG Regular" w:hAnsi="Ping LCG Regular" w:cstheme="minorHAnsi"/>
          <w:b/>
          <w:bCs/>
          <w:sz w:val="28"/>
          <w:szCs w:val="28"/>
          <w:lang w:val="el-GR"/>
        </w:rPr>
        <w:t xml:space="preserve">με προσαρμοσμένο </w:t>
      </w:r>
      <w:r w:rsidRPr="009229EA">
        <w:rPr>
          <w:rFonts w:ascii="Ping LCG Regular" w:hAnsi="Ping LCG Regular" w:cstheme="minorHAnsi"/>
          <w:b/>
          <w:bCs/>
          <w:sz w:val="28"/>
          <w:szCs w:val="28"/>
        </w:rPr>
        <w:t>EBITDA</w:t>
      </w:r>
      <w:r w:rsidRPr="009229EA">
        <w:rPr>
          <w:rFonts w:ascii="Ping LCG Regular" w:hAnsi="Ping LCG Regular" w:cstheme="minorHAnsi"/>
          <w:b/>
          <w:bCs/>
          <w:sz w:val="28"/>
          <w:szCs w:val="28"/>
          <w:lang w:val="el-GR"/>
        </w:rPr>
        <w:t xml:space="preserve"> </w:t>
      </w:r>
      <w:r w:rsidRPr="007A6206">
        <w:rPr>
          <w:rFonts w:ascii="Ping LCG Regular" w:hAnsi="Ping LCG Regular" w:cstheme="minorHAnsi"/>
          <w:b/>
          <w:bCs/>
          <w:sz w:val="28"/>
          <w:szCs w:val="28"/>
          <w:lang w:val="el-GR"/>
        </w:rPr>
        <w:t>στα €453 εκατ.</w:t>
      </w:r>
    </w:p>
    <w:p w14:paraId="17F70DE4" w14:textId="77777777" w:rsidR="003B4226" w:rsidRPr="009229EA" w:rsidRDefault="003B4226" w:rsidP="003B4226">
      <w:pPr>
        <w:rPr>
          <w:rFonts w:ascii="Ping LCG Regular" w:hAnsi="Ping LCG Regular"/>
          <w:b/>
          <w:bCs/>
          <w:sz w:val="28"/>
          <w:szCs w:val="28"/>
          <w:lang w:val="el-GR"/>
        </w:rPr>
      </w:pPr>
    </w:p>
    <w:p w14:paraId="4DA84B06" w14:textId="2349DBEC" w:rsidR="00F749BC" w:rsidRPr="009229EA" w:rsidRDefault="008F0BF8" w:rsidP="003B4226">
      <w:pPr>
        <w:pStyle w:val="ListParagraph"/>
        <w:numPr>
          <w:ilvl w:val="0"/>
          <w:numId w:val="4"/>
        </w:numPr>
        <w:spacing w:line="320" w:lineRule="atLeast"/>
        <w:ind w:left="357" w:hanging="215"/>
        <w:jc w:val="both"/>
        <w:rPr>
          <w:rFonts w:ascii="Ping LCG Regular" w:hAnsi="Ping LCG Regular"/>
          <w:i/>
          <w:iCs/>
          <w:sz w:val="22"/>
          <w:szCs w:val="22"/>
          <w:lang w:val="el-GR"/>
        </w:rPr>
      </w:pPr>
      <w:r w:rsidRPr="009229EA">
        <w:rPr>
          <w:rFonts w:ascii="Ping LCG Regular" w:hAnsi="Ping LCG Regular"/>
          <w:i/>
          <w:iCs/>
          <w:sz w:val="22"/>
          <w:szCs w:val="22"/>
          <w:lang w:val="el-GR"/>
        </w:rPr>
        <w:t>Ανθεκτική κερδοφορία</w:t>
      </w:r>
      <w:r w:rsidR="00C7735F" w:rsidRPr="009229EA">
        <w:rPr>
          <w:rFonts w:ascii="Ping LCG Regular" w:hAnsi="Ping LCG Regular"/>
          <w:i/>
          <w:iCs/>
          <w:sz w:val="22"/>
          <w:szCs w:val="22"/>
          <w:lang w:val="el-GR"/>
        </w:rPr>
        <w:t xml:space="preserve"> </w:t>
      </w:r>
      <w:r w:rsidR="00F749BC" w:rsidRPr="009229EA">
        <w:rPr>
          <w:rFonts w:ascii="Ping LCG Regular" w:hAnsi="Ping LCG Regular"/>
          <w:i/>
          <w:iCs/>
          <w:sz w:val="22"/>
          <w:szCs w:val="22"/>
          <w:lang w:val="el-GR"/>
        </w:rPr>
        <w:t xml:space="preserve">παρά </w:t>
      </w:r>
      <w:r w:rsidR="00F749BC" w:rsidRPr="00DD7B06">
        <w:rPr>
          <w:rFonts w:ascii="Ping LCG Regular" w:hAnsi="Ping LCG Regular"/>
          <w:i/>
          <w:iCs/>
          <w:sz w:val="22"/>
          <w:szCs w:val="22"/>
          <w:lang w:val="el-GR"/>
        </w:rPr>
        <w:t xml:space="preserve">τις </w:t>
      </w:r>
      <w:r w:rsidR="00F749BC" w:rsidRPr="00DC1872">
        <w:rPr>
          <w:rFonts w:ascii="Ping LCG Regular" w:hAnsi="Ping LCG Regular"/>
          <w:i/>
          <w:iCs/>
          <w:sz w:val="22"/>
          <w:szCs w:val="22"/>
          <w:lang w:val="el-GR"/>
        </w:rPr>
        <w:t>μη ευνοϊκές</w:t>
      </w:r>
      <w:r w:rsidR="00F749BC" w:rsidRPr="00DD7B06">
        <w:rPr>
          <w:rFonts w:ascii="Ping LCG Regular" w:hAnsi="Ping LCG Regular"/>
          <w:i/>
          <w:iCs/>
          <w:sz w:val="22"/>
          <w:szCs w:val="22"/>
          <w:lang w:val="el-GR"/>
        </w:rPr>
        <w:t xml:space="preserve"> υδρολογικές</w:t>
      </w:r>
      <w:r w:rsidR="00F749BC" w:rsidRPr="009229EA">
        <w:rPr>
          <w:rFonts w:ascii="Ping LCG Regular" w:hAnsi="Ping LCG Regular"/>
          <w:i/>
          <w:iCs/>
          <w:sz w:val="22"/>
          <w:szCs w:val="22"/>
          <w:lang w:val="el-GR"/>
        </w:rPr>
        <w:t xml:space="preserve"> και </w:t>
      </w:r>
      <w:proofErr w:type="spellStart"/>
      <w:r w:rsidR="00F749BC" w:rsidRPr="009229EA">
        <w:rPr>
          <w:rFonts w:ascii="Ping LCG Regular" w:hAnsi="Ping LCG Regular"/>
          <w:i/>
          <w:iCs/>
          <w:sz w:val="22"/>
          <w:szCs w:val="22"/>
          <w:lang w:val="el-GR"/>
        </w:rPr>
        <w:t>ανεμολογικές</w:t>
      </w:r>
      <w:proofErr w:type="spellEnd"/>
      <w:r w:rsidR="00F749BC" w:rsidRPr="009229EA">
        <w:rPr>
          <w:rFonts w:ascii="Ping LCG Regular" w:hAnsi="Ping LCG Regular"/>
          <w:i/>
          <w:iCs/>
          <w:sz w:val="22"/>
          <w:szCs w:val="22"/>
          <w:lang w:val="el-GR"/>
        </w:rPr>
        <w:t xml:space="preserve"> συνθήκες κατά το α’ τρίμηνο του 2025</w:t>
      </w:r>
    </w:p>
    <w:p w14:paraId="7BDCAD8E" w14:textId="6274CB38" w:rsidR="003B4226" w:rsidRPr="003E5F67" w:rsidRDefault="003B4226" w:rsidP="003B4226">
      <w:pPr>
        <w:pStyle w:val="ListParagraph"/>
        <w:numPr>
          <w:ilvl w:val="0"/>
          <w:numId w:val="4"/>
        </w:numPr>
        <w:spacing w:line="320" w:lineRule="atLeast"/>
        <w:ind w:left="357" w:hanging="215"/>
        <w:jc w:val="both"/>
        <w:rPr>
          <w:rFonts w:ascii="Ping LCG Regular" w:hAnsi="Ping LCG Regular"/>
          <w:i/>
          <w:iCs/>
          <w:sz w:val="22"/>
          <w:szCs w:val="22"/>
          <w:lang w:val="el-GR"/>
        </w:rPr>
      </w:pPr>
      <w:r w:rsidRPr="003A2B9D">
        <w:rPr>
          <w:rFonts w:ascii="Ping LCG Regular" w:hAnsi="Ping LCG Regular"/>
          <w:i/>
          <w:iCs/>
          <w:sz w:val="22"/>
          <w:szCs w:val="22"/>
          <w:lang w:val="el-GR"/>
        </w:rPr>
        <w:t xml:space="preserve">Επενδύσεις </w:t>
      </w:r>
      <w:r w:rsidRPr="003E5F67">
        <w:rPr>
          <w:rFonts w:ascii="Ping LCG Regular" w:hAnsi="Ping LCG Regular"/>
          <w:i/>
          <w:iCs/>
          <w:sz w:val="22"/>
          <w:szCs w:val="22"/>
          <w:lang w:val="el-GR"/>
        </w:rPr>
        <w:t>€</w:t>
      </w:r>
      <w:r w:rsidR="003E5F67" w:rsidRPr="00E44BD7">
        <w:rPr>
          <w:rFonts w:ascii="Ping LCG Regular" w:hAnsi="Ping LCG Regular"/>
          <w:i/>
          <w:iCs/>
          <w:sz w:val="22"/>
          <w:szCs w:val="22"/>
          <w:lang w:val="el-GR"/>
        </w:rPr>
        <w:t>0,5</w:t>
      </w:r>
      <w:r w:rsidR="00247D46" w:rsidRPr="003E5F67">
        <w:rPr>
          <w:rFonts w:ascii="Ping LCG Regular" w:hAnsi="Ping LCG Regular"/>
          <w:i/>
          <w:iCs/>
          <w:sz w:val="22"/>
          <w:szCs w:val="22"/>
          <w:lang w:val="el-GR"/>
        </w:rPr>
        <w:t xml:space="preserve"> </w:t>
      </w:r>
      <w:r w:rsidR="003E5F67" w:rsidRPr="003E5F67">
        <w:rPr>
          <w:rFonts w:ascii="Ping LCG Regular" w:hAnsi="Ping LCG Regular"/>
          <w:i/>
          <w:iCs/>
          <w:sz w:val="22"/>
          <w:szCs w:val="22"/>
          <w:lang w:val="el-GR"/>
        </w:rPr>
        <w:t>δισ</w:t>
      </w:r>
      <w:r w:rsidRPr="003E5F67">
        <w:rPr>
          <w:rFonts w:ascii="Ping LCG Regular" w:hAnsi="Ping LCG Regular"/>
          <w:i/>
          <w:iCs/>
          <w:sz w:val="22"/>
          <w:szCs w:val="22"/>
          <w:lang w:val="el-GR"/>
        </w:rPr>
        <w:t xml:space="preserve">. με 89% αυτών σε ΑΠΕ, ευέλικτη παραγωγή και </w:t>
      </w:r>
      <w:r w:rsidR="00B611A1" w:rsidRPr="003E5F67">
        <w:rPr>
          <w:rFonts w:ascii="Ping LCG Regular" w:hAnsi="Ping LCG Regular"/>
          <w:i/>
          <w:iCs/>
          <w:sz w:val="22"/>
          <w:szCs w:val="22"/>
          <w:lang w:val="el-GR"/>
        </w:rPr>
        <w:t>δ</w:t>
      </w:r>
      <w:r w:rsidRPr="003E5F67">
        <w:rPr>
          <w:rFonts w:ascii="Ping LCG Regular" w:hAnsi="Ping LCG Regular"/>
          <w:i/>
          <w:iCs/>
          <w:sz w:val="22"/>
          <w:szCs w:val="22"/>
          <w:lang w:val="el-GR"/>
        </w:rPr>
        <w:t>ιανομή</w:t>
      </w:r>
      <w:r w:rsidR="000C0625" w:rsidRPr="003E5F67">
        <w:rPr>
          <w:rFonts w:ascii="Ping LCG Regular" w:hAnsi="Ping LCG Regular"/>
          <w:i/>
          <w:iCs/>
          <w:sz w:val="22"/>
          <w:szCs w:val="22"/>
          <w:lang w:val="el-GR"/>
        </w:rPr>
        <w:t xml:space="preserve"> </w:t>
      </w:r>
    </w:p>
    <w:p w14:paraId="5BFB1699" w14:textId="77777777" w:rsidR="003B4226" w:rsidRPr="003878E3" w:rsidRDefault="003B4226" w:rsidP="003B4226">
      <w:pPr>
        <w:pStyle w:val="ListParagraph"/>
        <w:numPr>
          <w:ilvl w:val="0"/>
          <w:numId w:val="4"/>
        </w:numPr>
        <w:spacing w:line="320" w:lineRule="atLeast"/>
        <w:ind w:left="357" w:hanging="215"/>
        <w:jc w:val="both"/>
        <w:rPr>
          <w:rFonts w:ascii="Ping LCG Regular" w:hAnsi="Ping LCG Regular"/>
          <w:i/>
          <w:iCs/>
          <w:sz w:val="22"/>
          <w:szCs w:val="22"/>
          <w:lang w:val="el-GR"/>
        </w:rPr>
      </w:pPr>
      <w:r w:rsidRPr="003E5F67">
        <w:rPr>
          <w:rFonts w:ascii="Ping LCG Regular" w:hAnsi="Ping LCG Regular"/>
          <w:i/>
          <w:iCs/>
          <w:sz w:val="22"/>
          <w:szCs w:val="22"/>
          <w:lang w:val="el-GR"/>
        </w:rPr>
        <w:t>Εγκατεστημένη ισχύς</w:t>
      </w:r>
      <w:r>
        <w:rPr>
          <w:rFonts w:ascii="Ping LCG Regular" w:hAnsi="Ping LCG Regular"/>
          <w:i/>
          <w:iCs/>
          <w:sz w:val="22"/>
          <w:szCs w:val="22"/>
          <w:lang w:val="el-GR"/>
        </w:rPr>
        <w:t xml:space="preserve"> σε ΑΠΕ</w:t>
      </w:r>
      <w:r w:rsidRPr="003878E3">
        <w:rPr>
          <w:rFonts w:ascii="Ping LCG Regular" w:hAnsi="Ping LCG Regular"/>
          <w:i/>
          <w:iCs/>
          <w:sz w:val="22"/>
          <w:szCs w:val="22"/>
          <w:lang w:val="el-GR"/>
        </w:rPr>
        <w:t xml:space="preserve"> 6,2</w:t>
      </w:r>
      <w:r w:rsidRPr="003878E3">
        <w:rPr>
          <w:rFonts w:ascii="Ping LCG Regular" w:hAnsi="Ping LCG Regular"/>
          <w:i/>
          <w:iCs/>
          <w:sz w:val="22"/>
          <w:szCs w:val="22"/>
        </w:rPr>
        <w:t>GW</w:t>
      </w:r>
      <w:r w:rsidRPr="003878E3">
        <w:rPr>
          <w:rFonts w:ascii="Ping LCG Regular" w:hAnsi="Ping LCG Regular"/>
          <w:i/>
          <w:iCs/>
          <w:sz w:val="22"/>
          <w:szCs w:val="22"/>
          <w:lang w:val="el-GR"/>
        </w:rPr>
        <w:t xml:space="preserve"> με 3,7</w:t>
      </w:r>
      <w:r w:rsidRPr="003878E3">
        <w:rPr>
          <w:rFonts w:ascii="Ping LCG Regular" w:hAnsi="Ping LCG Regular"/>
          <w:i/>
          <w:iCs/>
          <w:sz w:val="22"/>
          <w:szCs w:val="22"/>
        </w:rPr>
        <w:t>GW</w:t>
      </w:r>
      <w:r w:rsidRPr="003878E3">
        <w:rPr>
          <w:rFonts w:ascii="Ping LCG Regular" w:hAnsi="Ping LCG Regular"/>
          <w:i/>
          <w:iCs/>
          <w:sz w:val="22"/>
          <w:szCs w:val="22"/>
          <w:lang w:val="el-GR"/>
        </w:rPr>
        <w:t xml:space="preserve"> υπό κατασκευή ή έτοιμα προς κατασκευή</w:t>
      </w:r>
    </w:p>
    <w:p w14:paraId="6BD43588" w14:textId="77777777" w:rsidR="002E53E5" w:rsidRPr="002E53E5" w:rsidRDefault="00436310" w:rsidP="003B4226">
      <w:pPr>
        <w:pStyle w:val="ListParagraph"/>
        <w:numPr>
          <w:ilvl w:val="0"/>
          <w:numId w:val="4"/>
        </w:numPr>
        <w:spacing w:line="320" w:lineRule="atLeast"/>
        <w:ind w:left="357" w:hanging="215"/>
        <w:jc w:val="both"/>
        <w:rPr>
          <w:rFonts w:ascii="Ping LCG Regular" w:hAnsi="Ping LCG Regular"/>
          <w:i/>
          <w:iCs/>
          <w:sz w:val="22"/>
          <w:szCs w:val="22"/>
          <w:lang w:val="el-GR"/>
        </w:rPr>
      </w:pPr>
      <w:r w:rsidRPr="00436310">
        <w:rPr>
          <w:rFonts w:ascii="Ping LCG Regular" w:hAnsi="Ping LCG Regular"/>
          <w:i/>
          <w:iCs/>
          <w:sz w:val="22"/>
          <w:szCs w:val="22"/>
          <w:lang w:val="el-GR"/>
        </w:rPr>
        <w:t>Παραγωγή από ΑΠΕ στο 27% του συνολικού ενεργειακού μείγματος της ΔΕΗ, με στόχο την πλήρη έξοδο από τον λιγνίτη το 2026</w:t>
      </w:r>
    </w:p>
    <w:p w14:paraId="48870C37" w14:textId="2451A92F" w:rsidR="003B4226" w:rsidRPr="00947148" w:rsidRDefault="003B4226" w:rsidP="003B4226">
      <w:pPr>
        <w:pStyle w:val="ListParagraph"/>
        <w:numPr>
          <w:ilvl w:val="0"/>
          <w:numId w:val="4"/>
        </w:numPr>
        <w:spacing w:line="320" w:lineRule="atLeast"/>
        <w:ind w:left="357" w:hanging="215"/>
        <w:jc w:val="both"/>
        <w:rPr>
          <w:rFonts w:ascii="Ping LCG Regular" w:hAnsi="Ping LCG Regular"/>
          <w:i/>
          <w:iCs/>
          <w:sz w:val="22"/>
          <w:szCs w:val="22"/>
          <w:lang w:val="el-GR"/>
        </w:rPr>
      </w:pPr>
      <w:r>
        <w:rPr>
          <w:rFonts w:ascii="Ping LCG Regular" w:hAnsi="Ping LCG Regular"/>
          <w:i/>
          <w:iCs/>
          <w:sz w:val="22"/>
          <w:szCs w:val="22"/>
          <w:lang w:val="el-GR"/>
        </w:rPr>
        <w:t xml:space="preserve">Νέες αναβαθμίσεις </w:t>
      </w:r>
      <w:r w:rsidRPr="00947148">
        <w:rPr>
          <w:rFonts w:ascii="Ping LCG Regular" w:hAnsi="Ping LCG Regular"/>
          <w:i/>
          <w:iCs/>
          <w:sz w:val="22"/>
          <w:szCs w:val="22"/>
          <w:lang w:val="el-GR"/>
        </w:rPr>
        <w:t xml:space="preserve">από διεθνείς </w:t>
      </w:r>
      <w:r w:rsidRPr="0014079D">
        <w:rPr>
          <w:rFonts w:ascii="Ping LCG Regular" w:hAnsi="Ping LCG Regular"/>
          <w:i/>
          <w:iCs/>
          <w:sz w:val="22"/>
          <w:szCs w:val="22"/>
          <w:lang w:val="el-GR"/>
        </w:rPr>
        <w:t>οίκους αξιολόγησης (</w:t>
      </w:r>
      <w:r w:rsidRPr="0014079D">
        <w:rPr>
          <w:rFonts w:ascii="Ping LCG Regular" w:hAnsi="Ping LCG Regular"/>
          <w:i/>
          <w:iCs/>
          <w:sz w:val="22"/>
          <w:szCs w:val="22"/>
        </w:rPr>
        <w:t>S</w:t>
      </w:r>
      <w:r w:rsidRPr="0014079D">
        <w:rPr>
          <w:rFonts w:ascii="Ping LCG Regular" w:hAnsi="Ping LCG Regular"/>
          <w:i/>
          <w:iCs/>
          <w:sz w:val="22"/>
          <w:szCs w:val="22"/>
          <w:lang w:val="el-GR"/>
        </w:rPr>
        <w:t>&amp;</w:t>
      </w:r>
      <w:r w:rsidRPr="0014079D">
        <w:rPr>
          <w:rFonts w:ascii="Ping LCG Regular" w:hAnsi="Ping LCG Regular"/>
          <w:i/>
          <w:iCs/>
          <w:sz w:val="22"/>
          <w:szCs w:val="22"/>
        </w:rPr>
        <w:t>P</w:t>
      </w:r>
      <w:r w:rsidRPr="0014079D">
        <w:rPr>
          <w:rFonts w:ascii="Ping LCG Regular" w:hAnsi="Ping LCG Regular"/>
          <w:i/>
          <w:iCs/>
          <w:sz w:val="22"/>
          <w:szCs w:val="22"/>
          <w:lang w:val="el-GR"/>
        </w:rPr>
        <w:t xml:space="preserve"> </w:t>
      </w:r>
      <w:r w:rsidRPr="0014079D">
        <w:rPr>
          <w:rFonts w:ascii="Ping LCG Regular" w:hAnsi="Ping LCG Regular"/>
          <w:i/>
          <w:iCs/>
          <w:sz w:val="22"/>
          <w:szCs w:val="22"/>
        </w:rPr>
        <w:t>Global</w:t>
      </w:r>
      <w:r w:rsidRPr="0014079D">
        <w:rPr>
          <w:rFonts w:ascii="Ping LCG Regular" w:hAnsi="Ping LCG Regular"/>
          <w:i/>
          <w:iCs/>
          <w:sz w:val="22"/>
          <w:szCs w:val="22"/>
          <w:lang w:val="el-GR"/>
        </w:rPr>
        <w:t xml:space="preserve"> και </w:t>
      </w:r>
      <w:r w:rsidRPr="0014079D">
        <w:rPr>
          <w:rFonts w:ascii="Ping LCG Regular" w:hAnsi="Ping LCG Regular"/>
          <w:i/>
          <w:iCs/>
          <w:sz w:val="22"/>
          <w:szCs w:val="22"/>
        </w:rPr>
        <w:t>ISS</w:t>
      </w:r>
      <w:r w:rsidRPr="0014079D">
        <w:rPr>
          <w:rFonts w:ascii="Ping LCG Regular" w:hAnsi="Ping LCG Regular"/>
          <w:i/>
          <w:iCs/>
          <w:sz w:val="22"/>
          <w:szCs w:val="22"/>
          <w:lang w:val="el-GR"/>
        </w:rPr>
        <w:t>) σε θέματα ESG (Περιβάλλον, Κοινωνία, Διακυβέρνηση)</w:t>
      </w:r>
    </w:p>
    <w:p w14:paraId="7FEC7DDB" w14:textId="77777777" w:rsidR="003B4226" w:rsidRDefault="003B4226" w:rsidP="003B4226">
      <w:pPr>
        <w:pStyle w:val="ListParagraph"/>
        <w:numPr>
          <w:ilvl w:val="0"/>
          <w:numId w:val="4"/>
        </w:numPr>
        <w:spacing w:line="320" w:lineRule="atLeast"/>
        <w:ind w:left="357" w:hanging="215"/>
        <w:jc w:val="both"/>
        <w:rPr>
          <w:rFonts w:ascii="Ping LCG Regular" w:hAnsi="Ping LCG Regular"/>
          <w:i/>
          <w:iCs/>
          <w:sz w:val="22"/>
          <w:szCs w:val="22"/>
          <w:lang w:val="el-GR"/>
        </w:rPr>
      </w:pPr>
      <w:r w:rsidRPr="00390F52">
        <w:rPr>
          <w:rFonts w:ascii="Ping LCG Regular" w:hAnsi="Ping LCG Regular"/>
          <w:i/>
          <w:iCs/>
          <w:sz w:val="22"/>
          <w:szCs w:val="22"/>
          <w:lang w:val="el-GR"/>
        </w:rPr>
        <w:t xml:space="preserve">Ισχυρή χρηματοοικονομική θέση παρά τις σημαντικές επενδύσεις με τον δείκτη Καθαρό Χρέος/EBITDA </w:t>
      </w:r>
      <w:r w:rsidRPr="000E4A57">
        <w:rPr>
          <w:rFonts w:ascii="Ping LCG Regular" w:hAnsi="Ping LCG Regular"/>
          <w:i/>
          <w:iCs/>
          <w:sz w:val="22"/>
          <w:szCs w:val="22"/>
          <w:lang w:val="el-GR"/>
        </w:rPr>
        <w:t>στο 2,</w:t>
      </w:r>
      <w:r>
        <w:rPr>
          <w:rFonts w:ascii="Ping LCG Regular" w:hAnsi="Ping LCG Regular"/>
          <w:i/>
          <w:iCs/>
          <w:sz w:val="22"/>
          <w:szCs w:val="22"/>
          <w:lang w:val="el-GR"/>
        </w:rPr>
        <w:t>9</w:t>
      </w:r>
      <w:r w:rsidRPr="000E4A57">
        <w:rPr>
          <w:rFonts w:ascii="Ping LCG Regular" w:hAnsi="Ping LCG Regular"/>
          <w:i/>
          <w:iCs/>
          <w:sz w:val="22"/>
          <w:szCs w:val="22"/>
        </w:rPr>
        <w:t>x</w:t>
      </w:r>
      <w:r w:rsidRPr="000E4A57">
        <w:rPr>
          <w:rFonts w:ascii="Ping LCG Regular" w:hAnsi="Ping LCG Regular"/>
          <w:i/>
          <w:iCs/>
          <w:sz w:val="22"/>
          <w:szCs w:val="22"/>
          <w:lang w:val="el-GR"/>
        </w:rPr>
        <w:t xml:space="preserve"> </w:t>
      </w:r>
    </w:p>
    <w:p w14:paraId="6D9FFAC6" w14:textId="4A2F6CF0" w:rsidR="00C54C97" w:rsidRPr="000E4A57" w:rsidRDefault="00C54C97" w:rsidP="003B4226">
      <w:pPr>
        <w:pStyle w:val="ListParagraph"/>
        <w:numPr>
          <w:ilvl w:val="0"/>
          <w:numId w:val="4"/>
        </w:numPr>
        <w:spacing w:line="320" w:lineRule="atLeast"/>
        <w:ind w:left="357" w:hanging="215"/>
        <w:jc w:val="both"/>
        <w:rPr>
          <w:rFonts w:ascii="Ping LCG Regular" w:hAnsi="Ping LCG Regular"/>
          <w:i/>
          <w:iCs/>
          <w:sz w:val="22"/>
          <w:szCs w:val="22"/>
          <w:lang w:val="el-GR"/>
        </w:rPr>
      </w:pPr>
      <w:r w:rsidRPr="00C54C97">
        <w:rPr>
          <w:rFonts w:ascii="Ping LCG Regular" w:hAnsi="Ping LCG Regular"/>
          <w:i/>
          <w:iCs/>
          <w:sz w:val="22"/>
          <w:szCs w:val="22"/>
          <w:lang w:val="el-GR"/>
        </w:rPr>
        <w:t>Επιβεβαίωση των προοπτικών για το 2025 με εκτίμηση για προσαρμοσμένο EBITDA στα €2 δισ.</w:t>
      </w:r>
      <w:r w:rsidR="000C0625">
        <w:rPr>
          <w:rFonts w:ascii="Ping LCG Regular" w:hAnsi="Ping LCG Regular"/>
          <w:i/>
          <w:iCs/>
          <w:sz w:val="22"/>
          <w:szCs w:val="22"/>
          <w:lang w:val="el-GR"/>
        </w:rPr>
        <w:t xml:space="preserve"> </w:t>
      </w:r>
    </w:p>
    <w:p w14:paraId="2D077DFD" w14:textId="77777777" w:rsidR="00FC32AB" w:rsidRPr="009532C6" w:rsidRDefault="00FC32AB" w:rsidP="003B4226">
      <w:pPr>
        <w:tabs>
          <w:tab w:val="left" w:pos="3252"/>
        </w:tabs>
        <w:spacing w:line="320" w:lineRule="atLeast"/>
        <w:jc w:val="both"/>
        <w:rPr>
          <w:rFonts w:ascii="Ping LCG Regular" w:hAnsi="Ping LCG Regular"/>
          <w:i/>
          <w:iCs/>
          <w:sz w:val="22"/>
          <w:szCs w:val="22"/>
          <w:lang w:val="el-GR"/>
        </w:rPr>
      </w:pPr>
    </w:p>
    <w:p w14:paraId="2EA53FA2" w14:textId="185C6E7D" w:rsidR="003B4226" w:rsidRPr="000E4A57" w:rsidRDefault="003B4226" w:rsidP="003B4226">
      <w:pPr>
        <w:tabs>
          <w:tab w:val="left" w:pos="3252"/>
        </w:tabs>
        <w:spacing w:line="320" w:lineRule="atLeast"/>
        <w:jc w:val="both"/>
        <w:rPr>
          <w:rFonts w:ascii="Ping LCG Regular" w:hAnsi="Ping LCG Regular"/>
          <w:i/>
          <w:iCs/>
          <w:sz w:val="22"/>
          <w:szCs w:val="22"/>
          <w:lang w:val="el-GR"/>
        </w:rPr>
      </w:pPr>
      <w:r w:rsidRPr="000E4A57">
        <w:rPr>
          <w:rFonts w:ascii="Ping LCG Regular" w:hAnsi="Ping LCG Regular"/>
          <w:i/>
          <w:iCs/>
          <w:sz w:val="22"/>
          <w:szCs w:val="22"/>
          <w:lang w:val="el-GR"/>
        </w:rPr>
        <w:tab/>
      </w:r>
    </w:p>
    <w:p w14:paraId="2C107802" w14:textId="77777777" w:rsidR="0068261C" w:rsidRPr="00DC1872" w:rsidRDefault="00DE03D1" w:rsidP="00305763">
      <w:pPr>
        <w:rPr>
          <w:b/>
          <w:bCs/>
          <w:szCs w:val="22"/>
        </w:rPr>
      </w:pPr>
      <w:r w:rsidRPr="00DC1872">
        <w:rPr>
          <w:rFonts w:ascii="Ping LCG Regular" w:hAnsi="Ping LCG Regular"/>
          <w:b/>
          <w:bCs/>
          <w:sz w:val="22"/>
          <w:szCs w:val="22"/>
          <w:lang w:val="el-GR"/>
        </w:rPr>
        <w:t>Βασικά Οικονομικά Μεγέθη</w:t>
      </w:r>
      <w:r w:rsidRPr="00DC1872">
        <w:rPr>
          <w:rStyle w:val="FootnoteReference"/>
          <w:rFonts w:ascii="Ping LCG Regular" w:hAnsi="Ping LCG Regular"/>
          <w:b/>
          <w:bCs/>
          <w:color w:val="FFFFFF" w:themeColor="background1"/>
          <w:sz w:val="22"/>
          <w:szCs w:val="22"/>
          <w:lang w:val="el-GR"/>
        </w:rPr>
        <w:footnoteReference w:id="2"/>
      </w:r>
      <w:r w:rsidR="006F16E7" w:rsidRPr="00DC1872">
        <w:rPr>
          <w:b/>
          <w:bCs/>
          <w:szCs w:val="22"/>
          <w:lang w:val="el-GR"/>
        </w:rPr>
        <w:t xml:space="preserve"> </w:t>
      </w:r>
    </w:p>
    <w:p w14:paraId="6FA9DCD1" w14:textId="3DBEC569" w:rsidR="00DE03D1" w:rsidRPr="00305763" w:rsidRDefault="00312511" w:rsidP="00305763">
      <w:pPr>
        <w:rPr>
          <w:rFonts w:ascii="Ping LCG Regular" w:hAnsi="Ping LCG Regular"/>
          <w:b/>
          <w:bCs/>
          <w:sz w:val="22"/>
          <w:szCs w:val="22"/>
          <w:lang w:val="el-GR"/>
        </w:rPr>
      </w:pPr>
      <w:r w:rsidRPr="009532C6">
        <w:rPr>
          <w:b/>
          <w:bCs/>
          <w:noProof/>
          <w:szCs w:val="22"/>
          <w:lang w:val="el-GR"/>
        </w:rPr>
        <w:drawing>
          <wp:inline distT="0" distB="0" distL="0" distR="0" wp14:anchorId="280C269E" wp14:editId="4C647398">
            <wp:extent cx="5502302" cy="3244786"/>
            <wp:effectExtent l="0" t="0" r="3175" b="0"/>
            <wp:docPr id="1250832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3860" cy="3257499"/>
                    </a:xfrm>
                    <a:prstGeom prst="rect">
                      <a:avLst/>
                    </a:prstGeom>
                    <a:noFill/>
                  </pic:spPr>
                </pic:pic>
              </a:graphicData>
            </a:graphic>
          </wp:inline>
        </w:drawing>
      </w:r>
      <w:r w:rsidR="00DE03D1" w:rsidRPr="009532C6">
        <w:rPr>
          <w:b/>
          <w:bCs/>
          <w:szCs w:val="22"/>
          <w:lang w:val="el-GR"/>
        </w:rPr>
        <w:br w:type="page"/>
      </w:r>
    </w:p>
    <w:p w14:paraId="7905A91D" w14:textId="77777777" w:rsidR="00DE03D1" w:rsidRPr="007334B1" w:rsidRDefault="00DE03D1" w:rsidP="00AF1E87">
      <w:pPr>
        <w:pStyle w:val="DehPressRelease"/>
        <w:jc w:val="both"/>
        <w:rPr>
          <w:b/>
          <w:bCs/>
          <w:szCs w:val="22"/>
        </w:rPr>
      </w:pPr>
      <w:r w:rsidRPr="007334B1">
        <w:rPr>
          <w:b/>
          <w:bCs/>
          <w:szCs w:val="22"/>
        </w:rPr>
        <w:lastRenderedPageBreak/>
        <w:t xml:space="preserve">Βασικά γεγονότα του </w:t>
      </w:r>
      <w:r>
        <w:rPr>
          <w:b/>
          <w:bCs/>
          <w:szCs w:val="22"/>
        </w:rPr>
        <w:t xml:space="preserve">α΄ τριμήνου </w:t>
      </w:r>
      <w:r w:rsidRPr="007334B1">
        <w:rPr>
          <w:b/>
          <w:bCs/>
          <w:szCs w:val="22"/>
        </w:rPr>
        <w:t>202</w:t>
      </w:r>
      <w:r>
        <w:rPr>
          <w:b/>
          <w:bCs/>
          <w:szCs w:val="22"/>
        </w:rPr>
        <w:t>5</w:t>
      </w:r>
      <w:r w:rsidRPr="007334B1">
        <w:rPr>
          <w:b/>
          <w:bCs/>
          <w:szCs w:val="22"/>
        </w:rPr>
        <w:t xml:space="preserve"> </w:t>
      </w:r>
    </w:p>
    <w:p w14:paraId="51F2F0A8" w14:textId="13D19506" w:rsidR="00AB7616" w:rsidRPr="00AF487C" w:rsidRDefault="00DE03D1" w:rsidP="00AF1E87">
      <w:pPr>
        <w:pStyle w:val="DehPressRelease"/>
        <w:jc w:val="both"/>
        <w:rPr>
          <w:szCs w:val="22"/>
        </w:rPr>
      </w:pPr>
      <w:r w:rsidRPr="00DC1872">
        <w:rPr>
          <w:szCs w:val="22"/>
        </w:rPr>
        <w:t xml:space="preserve">Το </w:t>
      </w:r>
      <w:r w:rsidR="00507BF4">
        <w:rPr>
          <w:szCs w:val="22"/>
        </w:rPr>
        <w:t>α’</w:t>
      </w:r>
      <w:r w:rsidRPr="00DC1872">
        <w:rPr>
          <w:szCs w:val="22"/>
        </w:rPr>
        <w:t xml:space="preserve"> τρίμηνο του 2025 το προσαρμοσμένο EBITDA διαμορφώθηκε σε €</w:t>
      </w:r>
      <w:r w:rsidR="00471B49" w:rsidRPr="00AF487C">
        <w:rPr>
          <w:szCs w:val="22"/>
        </w:rPr>
        <w:t>0,</w:t>
      </w:r>
      <w:r w:rsidRPr="00DC1872">
        <w:rPr>
          <w:szCs w:val="22"/>
        </w:rPr>
        <w:t xml:space="preserve">45 </w:t>
      </w:r>
      <w:r w:rsidR="00D81C9A">
        <w:rPr>
          <w:szCs w:val="22"/>
        </w:rPr>
        <w:t>δισ</w:t>
      </w:r>
      <w:r w:rsidRPr="00DC1872">
        <w:rPr>
          <w:szCs w:val="22"/>
        </w:rPr>
        <w:t>.</w:t>
      </w:r>
      <w:r w:rsidR="00F760C5">
        <w:rPr>
          <w:szCs w:val="22"/>
        </w:rPr>
        <w:t>, επηρεαζόμενο</w:t>
      </w:r>
      <w:r w:rsidR="00204296" w:rsidRPr="00DC1872">
        <w:rPr>
          <w:szCs w:val="22"/>
        </w:rPr>
        <w:t xml:space="preserve"> από</w:t>
      </w:r>
      <w:r w:rsidR="006C7761" w:rsidRPr="00DC1872">
        <w:rPr>
          <w:szCs w:val="22"/>
        </w:rPr>
        <w:t xml:space="preserve"> γεγονότα με εποχικό χαρακτήρα</w:t>
      </w:r>
      <w:r w:rsidR="00856FA6" w:rsidRPr="00DC1872">
        <w:rPr>
          <w:szCs w:val="22"/>
        </w:rPr>
        <w:t xml:space="preserve">. </w:t>
      </w:r>
      <w:r w:rsidR="003F72F9" w:rsidRPr="00DC1872">
        <w:rPr>
          <w:szCs w:val="22"/>
        </w:rPr>
        <w:t xml:space="preserve">Συγκεκριμένα, οι μη ευνοϊκές υδρολογικές συνθήκες που επικράτησαν στην Ελλάδα, καθώς και οι ασθενέστερες </w:t>
      </w:r>
      <w:proofErr w:type="spellStart"/>
      <w:r w:rsidR="003F72F9" w:rsidRPr="00DC1872">
        <w:rPr>
          <w:szCs w:val="22"/>
        </w:rPr>
        <w:t>ανεμολογικές</w:t>
      </w:r>
      <w:proofErr w:type="spellEnd"/>
      <w:r w:rsidR="003F72F9" w:rsidRPr="00DC1872">
        <w:rPr>
          <w:szCs w:val="22"/>
        </w:rPr>
        <w:t xml:space="preserve"> </w:t>
      </w:r>
      <w:r w:rsidR="003F72F9" w:rsidRPr="00494625">
        <w:rPr>
          <w:szCs w:val="22"/>
        </w:rPr>
        <w:t xml:space="preserve">συνθήκες </w:t>
      </w:r>
      <w:r w:rsidR="00494625" w:rsidRPr="005B51C4">
        <w:rPr>
          <w:szCs w:val="22"/>
        </w:rPr>
        <w:t xml:space="preserve">σε Ελλάδα και </w:t>
      </w:r>
      <w:r w:rsidR="003F72F9" w:rsidRPr="005B51C4">
        <w:rPr>
          <w:szCs w:val="22"/>
        </w:rPr>
        <w:t>Ρουμανία</w:t>
      </w:r>
      <w:r w:rsidR="003F72F9" w:rsidRPr="00494625">
        <w:rPr>
          <w:szCs w:val="22"/>
        </w:rPr>
        <w:t>,</w:t>
      </w:r>
      <w:r w:rsidR="003F72F9" w:rsidRPr="00DC1872">
        <w:rPr>
          <w:szCs w:val="22"/>
        </w:rPr>
        <w:t xml:space="preserve"> οδήγησαν σε μειωμένη παραγωγή από Ανανεώσιμες Πηγές Ενέργειας (ΑΠΕ) στο σύνολο του χαρτοφυλακίου του Ομίλου. Επιπλέον, η κερδοφορία επηρεάστηκε αρνητικά και από </w:t>
      </w:r>
      <w:r w:rsidR="00AB7616" w:rsidRPr="00DC1872">
        <w:rPr>
          <w:szCs w:val="22"/>
        </w:rPr>
        <w:t>τα χαμηλότερα έσοδα από την δραστηριότητα της διανομής στην Ελλάδα λόγω της καθυστέρησης στην εφαρμογή των νέων χρεώσεων χρήσης δικτύου διανομής και της εποχικότητας της κερδοφορίας της εν λόγω δραστηριότητας.</w:t>
      </w:r>
      <w:r w:rsidR="00A72A41">
        <w:rPr>
          <w:szCs w:val="22"/>
        </w:rPr>
        <w:t xml:space="preserve"> </w:t>
      </w:r>
      <w:r w:rsidR="00A72A41" w:rsidRPr="00A72A41">
        <w:rPr>
          <w:szCs w:val="22"/>
        </w:rPr>
        <w:t>Η τάση αυτή αναμένεται να αντιστραφεί στο β΄ εξάμηνο</w:t>
      </w:r>
      <w:r w:rsidR="00A72A41">
        <w:rPr>
          <w:szCs w:val="22"/>
        </w:rPr>
        <w:t>.</w:t>
      </w:r>
    </w:p>
    <w:p w14:paraId="4B080CA6" w14:textId="5F5ED9FD" w:rsidR="00DE03D1" w:rsidRPr="00DE6E3B" w:rsidRDefault="00DE03D1" w:rsidP="00AF1E87">
      <w:pPr>
        <w:pStyle w:val="DehPressRelease"/>
        <w:jc w:val="both"/>
        <w:rPr>
          <w:strike/>
          <w:szCs w:val="22"/>
        </w:rPr>
      </w:pPr>
      <w:r w:rsidRPr="0001309B">
        <w:rPr>
          <w:szCs w:val="22"/>
        </w:rPr>
        <w:t>Οι συνολικές επενδύσεις ανήλθαν σε €</w:t>
      </w:r>
      <w:r w:rsidR="004665CD">
        <w:rPr>
          <w:szCs w:val="22"/>
        </w:rPr>
        <w:t>0,48 δισ</w:t>
      </w:r>
      <w:r w:rsidRPr="0001309B">
        <w:rPr>
          <w:szCs w:val="22"/>
        </w:rPr>
        <w:t xml:space="preserve">., με </w:t>
      </w:r>
      <w:r>
        <w:rPr>
          <w:szCs w:val="22"/>
        </w:rPr>
        <w:t xml:space="preserve">την πλειοψηφία </w:t>
      </w:r>
      <w:r w:rsidRPr="0001309B">
        <w:rPr>
          <w:szCs w:val="22"/>
        </w:rPr>
        <w:t>αυτών</w:t>
      </w:r>
      <w:r>
        <w:rPr>
          <w:szCs w:val="22"/>
        </w:rPr>
        <w:t>,</w:t>
      </w:r>
      <w:r w:rsidRPr="0001309B">
        <w:rPr>
          <w:szCs w:val="22"/>
        </w:rPr>
        <w:t xml:space="preserve"> </w:t>
      </w:r>
      <w:r>
        <w:rPr>
          <w:szCs w:val="22"/>
        </w:rPr>
        <w:t xml:space="preserve">και συγκεκριμένα </w:t>
      </w:r>
      <w:r w:rsidRPr="0001309B">
        <w:rPr>
          <w:szCs w:val="22"/>
        </w:rPr>
        <w:t>το 89%</w:t>
      </w:r>
      <w:r>
        <w:rPr>
          <w:szCs w:val="22"/>
        </w:rPr>
        <w:t>,</w:t>
      </w:r>
      <w:r w:rsidRPr="0001309B">
        <w:rPr>
          <w:szCs w:val="22"/>
        </w:rPr>
        <w:t xml:space="preserve"> να </w:t>
      </w:r>
      <w:r>
        <w:rPr>
          <w:szCs w:val="22"/>
        </w:rPr>
        <w:t>αφορούν</w:t>
      </w:r>
      <w:r w:rsidRPr="0001309B">
        <w:rPr>
          <w:szCs w:val="22"/>
        </w:rPr>
        <w:t xml:space="preserve"> επενδύσεις </w:t>
      </w:r>
      <w:r>
        <w:rPr>
          <w:szCs w:val="22"/>
        </w:rPr>
        <w:t xml:space="preserve">σε έργα </w:t>
      </w:r>
      <w:r w:rsidRPr="0001309B">
        <w:rPr>
          <w:szCs w:val="22"/>
        </w:rPr>
        <w:t xml:space="preserve">ΑΠΕ, ευέλικτης παραγωγής και </w:t>
      </w:r>
      <w:r w:rsidR="00B15434">
        <w:rPr>
          <w:szCs w:val="22"/>
        </w:rPr>
        <w:t>δ</w:t>
      </w:r>
      <w:r w:rsidRPr="0001309B">
        <w:rPr>
          <w:szCs w:val="22"/>
        </w:rPr>
        <w:t xml:space="preserve">ιανομής ηλεκτρικής ενέργειας, </w:t>
      </w:r>
      <w:r>
        <w:rPr>
          <w:szCs w:val="22"/>
        </w:rPr>
        <w:t>με βάση τους στρατηγικούς στόχους που έχει θέσει ο Όμιλος για την δημιουργία ενός καθαρού και ευέλικτου χαρτοφυλακίου παραγωγής ενέργειας και τον εκσυγχρονισμό των δικτύων διανομής.</w:t>
      </w:r>
      <w:r w:rsidR="000C0625">
        <w:rPr>
          <w:szCs w:val="22"/>
        </w:rPr>
        <w:t xml:space="preserve"> </w:t>
      </w:r>
    </w:p>
    <w:p w14:paraId="053396C2" w14:textId="32044698" w:rsidR="002B7199" w:rsidRDefault="00DE03D1" w:rsidP="00AF1E87">
      <w:pPr>
        <w:pStyle w:val="DehPressRelease"/>
        <w:jc w:val="both"/>
        <w:rPr>
          <w:szCs w:val="22"/>
        </w:rPr>
      </w:pPr>
      <w:r w:rsidRPr="003E6EE1">
        <w:rPr>
          <w:szCs w:val="22"/>
        </w:rPr>
        <w:t>Η εγκατεστημένη ισχύς ΑΠΕ διαμορφώθηκε σε 6,2GW στο τέλος του α’ τρίμηνου 2025, συμπεριλαμβανομένων και έργων ισχύος περίπου 0,7</w:t>
      </w:r>
      <w:r w:rsidRPr="003E6EE1">
        <w:rPr>
          <w:szCs w:val="22"/>
          <w:lang w:val="en-US"/>
        </w:rPr>
        <w:t>GW</w:t>
      </w:r>
      <w:r w:rsidRPr="003E6EE1">
        <w:rPr>
          <w:szCs w:val="22"/>
        </w:rPr>
        <w:t xml:space="preserve"> η κατασκευή των οποίων ολοκληρώθηκε εντός του τριμήνου, σημειώνοντας σημαντική άνοδο από τα 4,7</w:t>
      </w:r>
      <w:r w:rsidRPr="003E6EE1">
        <w:rPr>
          <w:szCs w:val="22"/>
          <w:lang w:val="en-US"/>
        </w:rPr>
        <w:t>GW</w:t>
      </w:r>
      <w:r w:rsidRPr="003E6EE1">
        <w:rPr>
          <w:szCs w:val="22"/>
        </w:rPr>
        <w:t xml:space="preserve"> στο τέλος του αντίστοιχου τρίμηνου του </w:t>
      </w:r>
      <w:r w:rsidRPr="00C278A9">
        <w:rPr>
          <w:szCs w:val="22"/>
        </w:rPr>
        <w:t xml:space="preserve">2024. Η αυξητική τάση αναμένεται να συνεχιστεί, καθώς έργα συνολικής </w:t>
      </w:r>
      <w:r w:rsidRPr="00576B26">
        <w:rPr>
          <w:szCs w:val="22"/>
        </w:rPr>
        <w:t xml:space="preserve">ισχύος 3,7GW βρίσκονται </w:t>
      </w:r>
      <w:r w:rsidRPr="004407A0">
        <w:rPr>
          <w:szCs w:val="22"/>
        </w:rPr>
        <w:t xml:space="preserve">σε στάδιο κατασκευής ή έτοιμα προς κατασκευή ή και σε διαδικασία διαγωνισμού (υποβολή προσφορών). </w:t>
      </w:r>
    </w:p>
    <w:p w14:paraId="329E86F2" w14:textId="6F6DC173" w:rsidR="00491CEB" w:rsidRPr="000C0625" w:rsidRDefault="00491CEB" w:rsidP="00AF1E87">
      <w:pPr>
        <w:pStyle w:val="DehPressRelease"/>
        <w:jc w:val="both"/>
        <w:rPr>
          <w:szCs w:val="22"/>
          <w:highlight w:val="cyan"/>
        </w:rPr>
      </w:pPr>
      <w:r w:rsidRPr="00E7132D">
        <w:rPr>
          <w:szCs w:val="22"/>
        </w:rPr>
        <w:t xml:space="preserve">Παράλληλα, </w:t>
      </w:r>
      <w:r w:rsidR="00D83392">
        <w:rPr>
          <w:szCs w:val="22"/>
        </w:rPr>
        <w:t>ξεκίνησε</w:t>
      </w:r>
      <w:r w:rsidR="00D83392" w:rsidRPr="00E7132D">
        <w:rPr>
          <w:szCs w:val="22"/>
        </w:rPr>
        <w:t xml:space="preserve"> </w:t>
      </w:r>
      <w:r w:rsidRPr="00E7132D">
        <w:rPr>
          <w:szCs w:val="22"/>
        </w:rPr>
        <w:t xml:space="preserve">τον Μάρτιο </w:t>
      </w:r>
      <w:r w:rsidR="00D83392">
        <w:rPr>
          <w:szCs w:val="22"/>
        </w:rPr>
        <w:t>η</w:t>
      </w:r>
      <w:r w:rsidR="00D83392" w:rsidRPr="00E7132D">
        <w:rPr>
          <w:szCs w:val="22"/>
        </w:rPr>
        <w:t xml:space="preserve"> </w:t>
      </w:r>
      <w:r w:rsidRPr="00E7132D">
        <w:rPr>
          <w:szCs w:val="22"/>
        </w:rPr>
        <w:t xml:space="preserve">δεύτερη φάση της κατασκευής του μεγάλου </w:t>
      </w:r>
      <w:proofErr w:type="spellStart"/>
      <w:r w:rsidRPr="00E7132D">
        <w:rPr>
          <w:szCs w:val="22"/>
        </w:rPr>
        <w:t>φωτοβολταϊκού</w:t>
      </w:r>
      <w:proofErr w:type="spellEnd"/>
      <w:r w:rsidRPr="00E7132D">
        <w:rPr>
          <w:szCs w:val="22"/>
        </w:rPr>
        <w:t xml:space="preserve"> σταθμού 490</w:t>
      </w:r>
      <w:r w:rsidR="00DF3789" w:rsidRPr="00DF3789">
        <w:rPr>
          <w:szCs w:val="22"/>
        </w:rPr>
        <w:t xml:space="preserve"> </w:t>
      </w:r>
      <w:r w:rsidRPr="00E7132D">
        <w:rPr>
          <w:szCs w:val="22"/>
          <w:lang w:val="en-US"/>
        </w:rPr>
        <w:t>MW</w:t>
      </w:r>
      <w:r w:rsidRPr="00E7132D">
        <w:rPr>
          <w:szCs w:val="22"/>
        </w:rPr>
        <w:t xml:space="preserve"> στη Μεγαλόπολη, ενός έργου που οδηγεί στη μεταμόρφωση των πρώην </w:t>
      </w:r>
      <w:proofErr w:type="spellStart"/>
      <w:r w:rsidRPr="00E7132D">
        <w:rPr>
          <w:szCs w:val="22"/>
        </w:rPr>
        <w:t>λιγνιτικών</w:t>
      </w:r>
      <w:proofErr w:type="spellEnd"/>
      <w:r w:rsidRPr="00E7132D">
        <w:rPr>
          <w:szCs w:val="22"/>
        </w:rPr>
        <w:t xml:space="preserve"> περιοχών σε ένα κόμβο πράσινης ενέργειας.</w:t>
      </w:r>
      <w:r w:rsidR="000C0625">
        <w:rPr>
          <w:szCs w:val="22"/>
        </w:rPr>
        <w:t xml:space="preserve"> </w:t>
      </w:r>
      <w:r w:rsidRPr="00674C60">
        <w:rPr>
          <w:szCs w:val="22"/>
        </w:rPr>
        <w:t>Συγκεκριμένα, σε συνέχεια των 125</w:t>
      </w:r>
      <w:r w:rsidR="00DF3789" w:rsidRPr="00DF3789">
        <w:rPr>
          <w:szCs w:val="22"/>
        </w:rPr>
        <w:t xml:space="preserve"> </w:t>
      </w:r>
      <w:r w:rsidRPr="00674C60">
        <w:rPr>
          <w:szCs w:val="22"/>
          <w:lang w:val="en-US"/>
        </w:rPr>
        <w:t>MW</w:t>
      </w:r>
      <w:r w:rsidRPr="00674C60">
        <w:rPr>
          <w:szCs w:val="22"/>
        </w:rPr>
        <w:t xml:space="preserve"> που είναι ήδη υπό κατασκευή (πρώτη φάση), η οποία αναμένεται να ολοκληρωθεί εντός του 2025, ξεκίνησε η κατασκευή επιπλέον 125</w:t>
      </w:r>
      <w:r w:rsidR="00DF3789" w:rsidRPr="00DF3789">
        <w:rPr>
          <w:szCs w:val="22"/>
        </w:rPr>
        <w:t xml:space="preserve"> </w:t>
      </w:r>
      <w:r w:rsidRPr="00674C60">
        <w:rPr>
          <w:szCs w:val="22"/>
          <w:lang w:val="en-US"/>
        </w:rPr>
        <w:t>MW</w:t>
      </w:r>
      <w:r w:rsidRPr="00674C60">
        <w:rPr>
          <w:szCs w:val="22"/>
        </w:rPr>
        <w:t xml:space="preserve"> (δεύτερη φάση), με την τρίτη φάση του έργου που αφορά την κατασκευή σταθμού συνολικής ισχύος 240</w:t>
      </w:r>
      <w:r w:rsidR="00DF3789" w:rsidRPr="00DF3789">
        <w:rPr>
          <w:szCs w:val="22"/>
        </w:rPr>
        <w:t xml:space="preserve"> </w:t>
      </w:r>
      <w:r w:rsidRPr="00674C60">
        <w:rPr>
          <w:szCs w:val="22"/>
          <w:lang w:val="en-US"/>
        </w:rPr>
        <w:t>MW</w:t>
      </w:r>
      <w:r w:rsidRPr="00674C60">
        <w:rPr>
          <w:szCs w:val="22"/>
        </w:rPr>
        <w:t xml:space="preserve"> να αναμένεται να ξεκινήσει εντός του 2026. </w:t>
      </w:r>
    </w:p>
    <w:p w14:paraId="2E06C140" w14:textId="2E4D1FB5" w:rsidR="00A1392A" w:rsidRPr="00B014F8" w:rsidRDefault="00397AEC" w:rsidP="00AF1E87">
      <w:pPr>
        <w:pStyle w:val="DehPressRelease"/>
        <w:jc w:val="both"/>
        <w:rPr>
          <w:szCs w:val="22"/>
        </w:rPr>
      </w:pPr>
      <w:r w:rsidRPr="006D3974">
        <w:rPr>
          <w:szCs w:val="22"/>
        </w:rPr>
        <w:t xml:space="preserve">Επιπλέον, </w:t>
      </w:r>
      <w:r w:rsidR="00D83392">
        <w:rPr>
          <w:szCs w:val="22"/>
        </w:rPr>
        <w:t>ξεκίνησε</w:t>
      </w:r>
      <w:r w:rsidR="00D83392" w:rsidRPr="006D3974">
        <w:rPr>
          <w:szCs w:val="22"/>
        </w:rPr>
        <w:t xml:space="preserve"> </w:t>
      </w:r>
      <w:r w:rsidR="00D83392">
        <w:rPr>
          <w:szCs w:val="22"/>
        </w:rPr>
        <w:t>η</w:t>
      </w:r>
      <w:r w:rsidR="00D83392" w:rsidRPr="006D3974">
        <w:rPr>
          <w:szCs w:val="22"/>
        </w:rPr>
        <w:t xml:space="preserve"> </w:t>
      </w:r>
      <w:r w:rsidR="00235411" w:rsidRPr="006D3974">
        <w:rPr>
          <w:szCs w:val="22"/>
        </w:rPr>
        <w:t xml:space="preserve">κατασκευή δύο νέων σταθμών αποθήκευσης ενέργειας (BESS) στη Δυτική Μακεδονία. Πρόκειται για το σταθμό «Μελίτη 1» συνολικής εγκατεστημένης ισχύος 48 MW και χωρητικότητας 96 </w:t>
      </w:r>
      <w:proofErr w:type="spellStart"/>
      <w:r w:rsidR="00235411" w:rsidRPr="006D3974">
        <w:rPr>
          <w:szCs w:val="22"/>
        </w:rPr>
        <w:t>MWh</w:t>
      </w:r>
      <w:proofErr w:type="spellEnd"/>
      <w:r w:rsidR="00235411" w:rsidRPr="006D3974">
        <w:rPr>
          <w:szCs w:val="22"/>
        </w:rPr>
        <w:t xml:space="preserve">, ο οποίος θα κατασκευαστεί κοντά σε </w:t>
      </w:r>
      <w:proofErr w:type="spellStart"/>
      <w:r w:rsidR="00235411" w:rsidRPr="006D3974">
        <w:rPr>
          <w:szCs w:val="22"/>
        </w:rPr>
        <w:t>φωτοβολταϊκούς</w:t>
      </w:r>
      <w:proofErr w:type="spellEnd"/>
      <w:r w:rsidR="00235411" w:rsidRPr="006D3974">
        <w:rPr>
          <w:szCs w:val="22"/>
        </w:rPr>
        <w:t xml:space="preserve"> σταθμούς που αναπτύσσει η</w:t>
      </w:r>
      <w:r w:rsidR="00235411" w:rsidRPr="00DD5A3B">
        <w:rPr>
          <w:szCs w:val="22"/>
        </w:rPr>
        <w:t xml:space="preserve"> </w:t>
      </w:r>
      <w:r w:rsidR="005D5722" w:rsidRPr="00DD5A3B">
        <w:rPr>
          <w:szCs w:val="22"/>
        </w:rPr>
        <w:t xml:space="preserve">ΔΕΗ </w:t>
      </w:r>
      <w:r w:rsidR="00235411" w:rsidRPr="00DD5A3B">
        <w:rPr>
          <w:szCs w:val="22"/>
        </w:rPr>
        <w:t>στη</w:t>
      </w:r>
      <w:r w:rsidR="00235411" w:rsidRPr="00AA54B5">
        <w:rPr>
          <w:color w:val="FF0000"/>
          <w:szCs w:val="22"/>
        </w:rPr>
        <w:t xml:space="preserve"> </w:t>
      </w:r>
      <w:r w:rsidR="00235411" w:rsidRPr="006D3974">
        <w:rPr>
          <w:szCs w:val="22"/>
        </w:rPr>
        <w:t xml:space="preserve">Δυτική </w:t>
      </w:r>
      <w:r w:rsidR="00235411" w:rsidRPr="00FD1FAB">
        <w:rPr>
          <w:szCs w:val="22"/>
        </w:rPr>
        <w:t xml:space="preserve">Μακεδονία. Ο δεύτερος είναι ο «Πτολεμαΐδα 4» με συνολική εγκατεστημένη ισχύ 50 MW και χωρητικότητα 100 </w:t>
      </w:r>
      <w:proofErr w:type="spellStart"/>
      <w:r w:rsidR="00235411" w:rsidRPr="00FD1FAB">
        <w:rPr>
          <w:szCs w:val="22"/>
        </w:rPr>
        <w:t>MWh</w:t>
      </w:r>
      <w:proofErr w:type="spellEnd"/>
      <w:r w:rsidR="00235411" w:rsidRPr="00FD1FAB">
        <w:rPr>
          <w:szCs w:val="22"/>
        </w:rPr>
        <w:t xml:space="preserve"> στην περιοχή των πρώην ορυχείων της Πτολεμαΐδας.</w:t>
      </w:r>
      <w:r w:rsidR="00AE7557" w:rsidRPr="00FD1FAB">
        <w:rPr>
          <w:szCs w:val="22"/>
        </w:rPr>
        <w:t xml:space="preserve"> </w:t>
      </w:r>
      <w:r w:rsidR="00886413" w:rsidRPr="00E76FA5">
        <w:rPr>
          <w:szCs w:val="22"/>
        </w:rPr>
        <w:t xml:space="preserve">Στόχος είναι η βελτιστοποίηση της διαχείρισης της παραγωγής των σταθμών ΑΠΕ, η μεγιστοποίηση του βαθμού συνεισφοράς τους και </w:t>
      </w:r>
      <w:r w:rsidR="006A2ED4" w:rsidRPr="00E76FA5">
        <w:rPr>
          <w:szCs w:val="22"/>
        </w:rPr>
        <w:t xml:space="preserve">η </w:t>
      </w:r>
      <w:r w:rsidR="00322C28" w:rsidRPr="00E76FA5">
        <w:rPr>
          <w:szCs w:val="22"/>
        </w:rPr>
        <w:t>αξιοποίηση</w:t>
      </w:r>
      <w:r w:rsidR="00886413" w:rsidRPr="00E76FA5">
        <w:rPr>
          <w:szCs w:val="22"/>
        </w:rPr>
        <w:t xml:space="preserve"> στο έπακρο το</w:t>
      </w:r>
      <w:r w:rsidR="00322C28" w:rsidRPr="00E76FA5">
        <w:rPr>
          <w:szCs w:val="22"/>
        </w:rPr>
        <w:t>υ</w:t>
      </w:r>
      <w:r w:rsidR="00886413" w:rsidRPr="00E76FA5">
        <w:rPr>
          <w:szCs w:val="22"/>
        </w:rPr>
        <w:t xml:space="preserve"> δυναμικ</w:t>
      </w:r>
      <w:r w:rsidR="00322C28" w:rsidRPr="00E76FA5">
        <w:rPr>
          <w:szCs w:val="22"/>
        </w:rPr>
        <w:t>ού</w:t>
      </w:r>
      <w:r w:rsidR="00886413" w:rsidRPr="00E76FA5">
        <w:rPr>
          <w:szCs w:val="22"/>
        </w:rPr>
        <w:t xml:space="preserve"> παραγωγής ηλεκτρικής ενέργειας από ΑΠΕ</w:t>
      </w:r>
      <w:r w:rsidR="00322C28" w:rsidRPr="00E76FA5">
        <w:rPr>
          <w:szCs w:val="22"/>
        </w:rPr>
        <w:t xml:space="preserve">, συμβάλλοντας παράλληλα </w:t>
      </w:r>
      <w:r w:rsidR="00AE7557" w:rsidRPr="00E76FA5">
        <w:rPr>
          <w:szCs w:val="22"/>
        </w:rPr>
        <w:t xml:space="preserve">στην ευστάθεια του συστήματος ηλεκτρικής ενέργειας. </w:t>
      </w:r>
      <w:r w:rsidR="00A1392A" w:rsidRPr="00E76FA5">
        <w:rPr>
          <w:szCs w:val="22"/>
        </w:rPr>
        <w:t>Στο πλαίσιο αυτό, και σύμφωνα με το επενδυτικό πλάνο για την τριετία 2025–2027, ο Όμιλος προγραμματίζει τη λειτουργία έργων αποθήκευσης</w:t>
      </w:r>
      <w:r w:rsidR="00A1392A" w:rsidRPr="00C9098D">
        <w:rPr>
          <w:szCs w:val="22"/>
        </w:rPr>
        <w:t xml:space="preserve"> ενέργειας (BESS) συνολικής ισχύος 600 MW, τα οποία βρίσκονται ήδη σε διαφορετικά στάδια ανάπτυξης στην Ελλάδα και τη Νοτιοανατολική Ευρώπη.</w:t>
      </w:r>
    </w:p>
    <w:p w14:paraId="60F1EB34" w14:textId="31E68498" w:rsidR="00DE03D1" w:rsidRDefault="00DE03D1" w:rsidP="00AF1E87">
      <w:pPr>
        <w:pStyle w:val="DehPressRelease"/>
        <w:jc w:val="both"/>
        <w:rPr>
          <w:szCs w:val="22"/>
        </w:rPr>
      </w:pPr>
      <w:r w:rsidRPr="00A246C3">
        <w:rPr>
          <w:szCs w:val="22"/>
        </w:rPr>
        <w:lastRenderedPageBreak/>
        <w:t xml:space="preserve">Η </w:t>
      </w:r>
      <w:proofErr w:type="spellStart"/>
      <w:r w:rsidRPr="00A246C3">
        <w:rPr>
          <w:szCs w:val="22"/>
        </w:rPr>
        <w:t>λιγνιτική</w:t>
      </w:r>
      <w:proofErr w:type="spellEnd"/>
      <w:r w:rsidRPr="00A246C3">
        <w:rPr>
          <w:szCs w:val="22"/>
        </w:rPr>
        <w:t xml:space="preserve"> παραγωγή το </w:t>
      </w:r>
      <w:r w:rsidRPr="00FC53B6">
        <w:rPr>
          <w:szCs w:val="22"/>
        </w:rPr>
        <w:t xml:space="preserve">α’ τρίμηνο 2025 παρέμεινε ουσιαστικά στα ίδια επίπεδα με το α’ τρίμηνο 2024 και διαμορφώθηκε </w:t>
      </w:r>
      <w:r w:rsidRPr="00130EE4">
        <w:rPr>
          <w:szCs w:val="22"/>
        </w:rPr>
        <w:t xml:space="preserve">σε 1,1 </w:t>
      </w:r>
      <w:r w:rsidRPr="00130EE4">
        <w:rPr>
          <w:szCs w:val="22"/>
          <w:lang w:val="en-US"/>
        </w:rPr>
        <w:t>TWh</w:t>
      </w:r>
      <w:r>
        <w:rPr>
          <w:szCs w:val="22"/>
        </w:rPr>
        <w:t xml:space="preserve">. </w:t>
      </w:r>
      <w:r w:rsidRPr="005B51C4">
        <w:rPr>
          <w:szCs w:val="22"/>
        </w:rPr>
        <w:t xml:space="preserve">Στα ίδια επίπεδα με την αντίστοιχη περίοδο του 2024 παρέμεινε και η παραγωγή από ΑΠΕ, </w:t>
      </w:r>
      <w:r w:rsidR="00042BBA" w:rsidRPr="005B51C4">
        <w:rPr>
          <w:szCs w:val="22"/>
        </w:rPr>
        <w:t>καθώς καταγράφηκε σ</w:t>
      </w:r>
      <w:r w:rsidRPr="005B51C4">
        <w:rPr>
          <w:szCs w:val="22"/>
        </w:rPr>
        <w:t xml:space="preserve">ημαντική μείωση κατά </w:t>
      </w:r>
      <w:r w:rsidR="00B360DC" w:rsidRPr="005B51C4">
        <w:rPr>
          <w:szCs w:val="22"/>
        </w:rPr>
        <w:t>240</w:t>
      </w:r>
      <w:r w:rsidR="00B360DC" w:rsidRPr="005B51C4">
        <w:rPr>
          <w:szCs w:val="22"/>
          <w:lang w:val="en-US"/>
        </w:rPr>
        <w:t>GWh</w:t>
      </w:r>
      <w:r w:rsidR="00B360DC" w:rsidRPr="005B51C4">
        <w:rPr>
          <w:szCs w:val="22"/>
        </w:rPr>
        <w:t xml:space="preserve"> (-</w:t>
      </w:r>
      <w:r w:rsidRPr="005B51C4">
        <w:rPr>
          <w:szCs w:val="22"/>
        </w:rPr>
        <w:t>27%</w:t>
      </w:r>
      <w:r w:rsidR="00B360DC" w:rsidRPr="005B51C4">
        <w:rPr>
          <w:szCs w:val="22"/>
        </w:rPr>
        <w:t>)</w:t>
      </w:r>
      <w:r w:rsidRPr="005B51C4">
        <w:rPr>
          <w:szCs w:val="22"/>
        </w:rPr>
        <w:t xml:space="preserve"> στην παραγωγή από μεγάλα υδροηλεκτρικά, λόγω των μειωμένων εισροών στους ταμιευτήρες</w:t>
      </w:r>
      <w:r w:rsidR="00A94EC1" w:rsidRPr="005B51C4">
        <w:rPr>
          <w:szCs w:val="22"/>
        </w:rPr>
        <w:t xml:space="preserve">. </w:t>
      </w:r>
      <w:r w:rsidR="00B87856" w:rsidRPr="005B51C4">
        <w:rPr>
          <w:szCs w:val="22"/>
        </w:rPr>
        <w:t xml:space="preserve">Επιπλέον, </w:t>
      </w:r>
      <w:r w:rsidR="00EB74BC" w:rsidRPr="005B51C4">
        <w:rPr>
          <w:szCs w:val="22"/>
        </w:rPr>
        <w:t xml:space="preserve">η παραγωγή από αιολικά </w:t>
      </w:r>
      <w:r w:rsidR="00710808" w:rsidRPr="005B51C4">
        <w:rPr>
          <w:szCs w:val="22"/>
        </w:rPr>
        <w:t xml:space="preserve">επηρεάστηκε σε μεγάλο βαθμό από τις ασθενείς </w:t>
      </w:r>
      <w:proofErr w:type="spellStart"/>
      <w:r w:rsidR="00710808" w:rsidRPr="005B51C4">
        <w:rPr>
          <w:szCs w:val="22"/>
        </w:rPr>
        <w:t>ανεμολογικές</w:t>
      </w:r>
      <w:proofErr w:type="spellEnd"/>
      <w:r w:rsidR="00710808" w:rsidRPr="005B51C4">
        <w:rPr>
          <w:szCs w:val="22"/>
        </w:rPr>
        <w:t xml:space="preserve"> συνθήκες</w:t>
      </w:r>
      <w:r w:rsidR="00F2684F" w:rsidRPr="005B51C4">
        <w:rPr>
          <w:szCs w:val="22"/>
        </w:rPr>
        <w:t>,</w:t>
      </w:r>
      <w:r w:rsidR="00D95F8B" w:rsidRPr="005B51C4">
        <w:rPr>
          <w:szCs w:val="22"/>
        </w:rPr>
        <w:t xml:space="preserve"> </w:t>
      </w:r>
      <w:r w:rsidR="006C0B2B" w:rsidRPr="005B51C4">
        <w:rPr>
          <w:szCs w:val="22"/>
        </w:rPr>
        <w:t xml:space="preserve">γεγονός που καταδεικνύεται από την </w:t>
      </w:r>
      <w:r w:rsidR="00407D41" w:rsidRPr="005B51C4">
        <w:rPr>
          <w:szCs w:val="22"/>
        </w:rPr>
        <w:t xml:space="preserve"> μειωμένη ταχύτητα</w:t>
      </w:r>
      <w:r w:rsidR="006C0B2B" w:rsidRPr="005B51C4">
        <w:rPr>
          <w:szCs w:val="22"/>
        </w:rPr>
        <w:t xml:space="preserve"> </w:t>
      </w:r>
      <w:r w:rsidR="00AF2132" w:rsidRPr="005B51C4">
        <w:rPr>
          <w:szCs w:val="22"/>
        </w:rPr>
        <w:t xml:space="preserve">του </w:t>
      </w:r>
      <w:r w:rsidR="006C0B2B" w:rsidRPr="005B51C4">
        <w:rPr>
          <w:szCs w:val="22"/>
        </w:rPr>
        <w:t xml:space="preserve">ανέμου </w:t>
      </w:r>
      <w:r w:rsidR="00AF2132" w:rsidRPr="005B51C4">
        <w:rPr>
          <w:szCs w:val="22"/>
        </w:rPr>
        <w:t xml:space="preserve">κατά </w:t>
      </w:r>
      <w:r w:rsidR="00974B73" w:rsidRPr="005B51C4">
        <w:rPr>
          <w:szCs w:val="22"/>
        </w:rPr>
        <w:t xml:space="preserve">6% </w:t>
      </w:r>
      <w:r w:rsidR="00AF2132" w:rsidRPr="005B51C4">
        <w:rPr>
          <w:szCs w:val="22"/>
        </w:rPr>
        <w:t>στην</w:t>
      </w:r>
      <w:r w:rsidR="006C0B2B" w:rsidRPr="005B51C4">
        <w:rPr>
          <w:szCs w:val="22"/>
        </w:rPr>
        <w:t xml:space="preserve"> Ελλάδα</w:t>
      </w:r>
      <w:r w:rsidR="00135E69" w:rsidRPr="005B51C4">
        <w:rPr>
          <w:szCs w:val="22"/>
        </w:rPr>
        <w:t xml:space="preserve"> (</w:t>
      </w:r>
      <w:r w:rsidR="0045206B" w:rsidRPr="005B51C4">
        <w:rPr>
          <w:szCs w:val="22"/>
        </w:rPr>
        <w:t xml:space="preserve">7,25 </w:t>
      </w:r>
      <w:r w:rsidR="0045206B" w:rsidRPr="005B51C4">
        <w:rPr>
          <w:szCs w:val="22"/>
          <w:lang w:val="en-US"/>
        </w:rPr>
        <w:t>avg</w:t>
      </w:r>
      <w:r w:rsidR="0045206B" w:rsidRPr="005B51C4">
        <w:rPr>
          <w:szCs w:val="22"/>
        </w:rPr>
        <w:t xml:space="preserve">. </w:t>
      </w:r>
      <w:r w:rsidR="0045206B" w:rsidRPr="005B51C4">
        <w:rPr>
          <w:szCs w:val="22"/>
          <w:lang w:val="en-US"/>
        </w:rPr>
        <w:t>m</w:t>
      </w:r>
      <w:r w:rsidR="0045206B" w:rsidRPr="005B51C4">
        <w:rPr>
          <w:szCs w:val="22"/>
        </w:rPr>
        <w:t>/</w:t>
      </w:r>
      <w:r w:rsidR="0045206B" w:rsidRPr="005B51C4">
        <w:rPr>
          <w:szCs w:val="22"/>
          <w:lang w:val="en-US"/>
        </w:rPr>
        <w:t>sec</w:t>
      </w:r>
      <w:r w:rsidR="0045206B" w:rsidRPr="005B51C4">
        <w:rPr>
          <w:szCs w:val="22"/>
        </w:rPr>
        <w:t xml:space="preserve"> από 7,</w:t>
      </w:r>
      <w:r w:rsidR="003B662A" w:rsidRPr="005B51C4">
        <w:rPr>
          <w:szCs w:val="22"/>
        </w:rPr>
        <w:t>70</w:t>
      </w:r>
      <w:r w:rsidR="0045206B" w:rsidRPr="005B51C4">
        <w:rPr>
          <w:szCs w:val="22"/>
        </w:rPr>
        <w:t xml:space="preserve"> </w:t>
      </w:r>
      <w:r w:rsidR="0045206B" w:rsidRPr="005B51C4">
        <w:rPr>
          <w:szCs w:val="22"/>
          <w:lang w:val="en-US"/>
        </w:rPr>
        <w:t>avg</w:t>
      </w:r>
      <w:r w:rsidR="0045206B" w:rsidRPr="005B51C4">
        <w:rPr>
          <w:szCs w:val="22"/>
        </w:rPr>
        <w:t xml:space="preserve">. </w:t>
      </w:r>
      <w:r w:rsidR="0045206B" w:rsidRPr="005B51C4">
        <w:rPr>
          <w:szCs w:val="22"/>
          <w:lang w:val="en-US"/>
        </w:rPr>
        <w:t>m</w:t>
      </w:r>
      <w:r w:rsidR="0045206B" w:rsidRPr="005B51C4">
        <w:rPr>
          <w:szCs w:val="22"/>
        </w:rPr>
        <w:t>/</w:t>
      </w:r>
      <w:r w:rsidR="0045206B" w:rsidRPr="005B51C4">
        <w:rPr>
          <w:szCs w:val="22"/>
          <w:lang w:val="en-US"/>
        </w:rPr>
        <w:t>sec</w:t>
      </w:r>
      <w:r w:rsidR="0045206B" w:rsidRPr="005B51C4">
        <w:rPr>
          <w:szCs w:val="22"/>
        </w:rPr>
        <w:t>)</w:t>
      </w:r>
      <w:r w:rsidR="006C0B2B" w:rsidRPr="005B51C4">
        <w:rPr>
          <w:szCs w:val="22"/>
        </w:rPr>
        <w:t xml:space="preserve"> και </w:t>
      </w:r>
      <w:r w:rsidR="00974B73" w:rsidRPr="005B51C4">
        <w:rPr>
          <w:szCs w:val="22"/>
        </w:rPr>
        <w:t xml:space="preserve">κατά 8% στη </w:t>
      </w:r>
      <w:r w:rsidR="006C0B2B" w:rsidRPr="005B51C4">
        <w:rPr>
          <w:szCs w:val="22"/>
        </w:rPr>
        <w:t>Ρου</w:t>
      </w:r>
      <w:r w:rsidR="00135E69" w:rsidRPr="005B51C4">
        <w:rPr>
          <w:szCs w:val="22"/>
        </w:rPr>
        <w:t>μανία</w:t>
      </w:r>
      <w:r w:rsidR="005A0049" w:rsidRPr="005F02D3">
        <w:rPr>
          <w:szCs w:val="22"/>
        </w:rPr>
        <w:t xml:space="preserve"> </w:t>
      </w:r>
      <w:r w:rsidR="005A0049" w:rsidRPr="005B51C4">
        <w:rPr>
          <w:szCs w:val="22"/>
        </w:rPr>
        <w:t xml:space="preserve">(6,29 </w:t>
      </w:r>
      <w:r w:rsidR="005A0049" w:rsidRPr="005B51C4">
        <w:rPr>
          <w:szCs w:val="22"/>
          <w:lang w:val="en-US"/>
        </w:rPr>
        <w:t>avg</w:t>
      </w:r>
      <w:r w:rsidR="005A0049" w:rsidRPr="005B51C4">
        <w:rPr>
          <w:szCs w:val="22"/>
        </w:rPr>
        <w:t xml:space="preserve">. </w:t>
      </w:r>
      <w:r w:rsidR="005A0049" w:rsidRPr="005B51C4">
        <w:rPr>
          <w:szCs w:val="22"/>
          <w:lang w:val="en-US"/>
        </w:rPr>
        <w:t>m</w:t>
      </w:r>
      <w:r w:rsidR="005A0049" w:rsidRPr="005B51C4">
        <w:rPr>
          <w:szCs w:val="22"/>
        </w:rPr>
        <w:t>/</w:t>
      </w:r>
      <w:r w:rsidR="005A0049" w:rsidRPr="005B51C4">
        <w:rPr>
          <w:szCs w:val="22"/>
          <w:lang w:val="en-US"/>
        </w:rPr>
        <w:t>sec</w:t>
      </w:r>
      <w:r w:rsidR="005A0049" w:rsidRPr="005B51C4">
        <w:rPr>
          <w:szCs w:val="22"/>
        </w:rPr>
        <w:t xml:space="preserve"> από 6,81 </w:t>
      </w:r>
      <w:r w:rsidR="005A0049" w:rsidRPr="005B51C4">
        <w:rPr>
          <w:szCs w:val="22"/>
          <w:lang w:val="en-US"/>
        </w:rPr>
        <w:t>avg</w:t>
      </w:r>
      <w:r w:rsidR="005A0049" w:rsidRPr="005B51C4">
        <w:rPr>
          <w:szCs w:val="22"/>
        </w:rPr>
        <w:t xml:space="preserve">. </w:t>
      </w:r>
      <w:r w:rsidR="005A0049" w:rsidRPr="005B51C4">
        <w:rPr>
          <w:szCs w:val="22"/>
          <w:lang w:val="en-US"/>
        </w:rPr>
        <w:t>m</w:t>
      </w:r>
      <w:r w:rsidR="005A0049" w:rsidRPr="005B51C4">
        <w:rPr>
          <w:szCs w:val="22"/>
        </w:rPr>
        <w:t>/</w:t>
      </w:r>
      <w:r w:rsidR="005A0049" w:rsidRPr="005B51C4">
        <w:rPr>
          <w:szCs w:val="22"/>
          <w:lang w:val="en-US"/>
        </w:rPr>
        <w:t>sec</w:t>
      </w:r>
      <w:r w:rsidR="005A0049" w:rsidRPr="005B51C4">
        <w:rPr>
          <w:szCs w:val="22"/>
        </w:rPr>
        <w:t>)</w:t>
      </w:r>
      <w:r w:rsidR="00135E69" w:rsidRPr="005F02D3">
        <w:rPr>
          <w:szCs w:val="22"/>
        </w:rPr>
        <w:t>.</w:t>
      </w:r>
      <w:r w:rsidRPr="005F02D3">
        <w:rPr>
          <w:szCs w:val="22"/>
        </w:rPr>
        <w:t xml:space="preserve"> </w:t>
      </w:r>
      <w:r w:rsidR="00053987" w:rsidRPr="005B51C4">
        <w:rPr>
          <w:szCs w:val="22"/>
        </w:rPr>
        <w:t>Ως αποτέλεσμα</w:t>
      </w:r>
      <w:r w:rsidRPr="005F02D3">
        <w:rPr>
          <w:szCs w:val="22"/>
        </w:rPr>
        <w:t xml:space="preserve">,  </w:t>
      </w:r>
      <w:r w:rsidR="00497FFA" w:rsidRPr="005F02D3">
        <w:rPr>
          <w:szCs w:val="22"/>
        </w:rPr>
        <w:t>η</w:t>
      </w:r>
      <w:r w:rsidR="00497FFA">
        <w:rPr>
          <w:szCs w:val="22"/>
        </w:rPr>
        <w:t xml:space="preserve"> </w:t>
      </w:r>
      <w:r w:rsidRPr="00130EE4">
        <w:rPr>
          <w:szCs w:val="22"/>
        </w:rPr>
        <w:t xml:space="preserve">παραγωγή από ΑΠΕ </w:t>
      </w:r>
      <w:r w:rsidR="00135E69">
        <w:rPr>
          <w:szCs w:val="22"/>
        </w:rPr>
        <w:t>διαμορφώθηκε</w:t>
      </w:r>
      <w:r w:rsidRPr="00130EE4">
        <w:rPr>
          <w:szCs w:val="22"/>
        </w:rPr>
        <w:t xml:space="preserve"> σε 1</w:t>
      </w:r>
      <w:r>
        <w:rPr>
          <w:szCs w:val="22"/>
        </w:rPr>
        <w:t>,5</w:t>
      </w:r>
      <w:r w:rsidRPr="00130EE4">
        <w:rPr>
          <w:szCs w:val="22"/>
        </w:rPr>
        <w:t xml:space="preserve"> </w:t>
      </w:r>
      <w:r w:rsidRPr="00130EE4">
        <w:rPr>
          <w:szCs w:val="22"/>
          <w:lang w:val="en-US"/>
        </w:rPr>
        <w:t>TWh</w:t>
      </w:r>
      <w:r w:rsidRPr="00130EE4">
        <w:rPr>
          <w:szCs w:val="22"/>
        </w:rPr>
        <w:t xml:space="preserve"> και αντιστοιχεί στο </w:t>
      </w:r>
      <w:r>
        <w:rPr>
          <w:szCs w:val="22"/>
        </w:rPr>
        <w:t>27</w:t>
      </w:r>
      <w:r w:rsidRPr="00130EE4">
        <w:rPr>
          <w:szCs w:val="22"/>
        </w:rPr>
        <w:t xml:space="preserve">% της συνολικής παραγωγής της ΔΕΗ. Παράλληλα, η παραγωγή από φυσικό αέριο ενισχύθηκε κατά </w:t>
      </w:r>
      <w:r>
        <w:rPr>
          <w:szCs w:val="22"/>
        </w:rPr>
        <w:t>69</w:t>
      </w:r>
      <w:r w:rsidRPr="00130EE4">
        <w:rPr>
          <w:szCs w:val="22"/>
        </w:rPr>
        <w:t xml:space="preserve">% σε σύγκριση με το α’ τρίμηνο του 2024, </w:t>
      </w:r>
      <w:r w:rsidRPr="00C278A9">
        <w:rPr>
          <w:szCs w:val="22"/>
        </w:rPr>
        <w:t>κυρίως λόγω της υψηλότερης ζήτηση</w:t>
      </w:r>
      <w:r>
        <w:rPr>
          <w:szCs w:val="22"/>
        </w:rPr>
        <w:t>ς</w:t>
      </w:r>
      <w:r w:rsidRPr="00C278A9">
        <w:rPr>
          <w:szCs w:val="22"/>
        </w:rPr>
        <w:t xml:space="preserve"> ηλεκτρικής ενέργειας που καταγράφηκε στην Ελλάδα</w:t>
      </w:r>
      <w:r>
        <w:rPr>
          <w:szCs w:val="22"/>
        </w:rPr>
        <w:t xml:space="preserve">, αλλά και του σημαντικά αυξημένου ισοζυγίου εξαγωγών </w:t>
      </w:r>
      <w:r w:rsidR="006538C0">
        <w:rPr>
          <w:szCs w:val="22"/>
        </w:rPr>
        <w:t xml:space="preserve">– εισαγωγών </w:t>
      </w:r>
      <w:r>
        <w:rPr>
          <w:szCs w:val="22"/>
        </w:rPr>
        <w:t>στη χώρα (αύξηση εξαγωγών με παράλληλη μείωση εισαγωγών).</w:t>
      </w:r>
    </w:p>
    <w:p w14:paraId="3BD9217A" w14:textId="79795EA9" w:rsidR="00DE03D1" w:rsidRPr="00050545" w:rsidRDefault="006261EF" w:rsidP="00AF1E87">
      <w:pPr>
        <w:pStyle w:val="DehPressRelease"/>
        <w:jc w:val="both"/>
        <w:rPr>
          <w:szCs w:val="22"/>
        </w:rPr>
      </w:pPr>
      <w:r>
        <w:rPr>
          <w:szCs w:val="22"/>
        </w:rPr>
        <w:t>Η πρόοδος</w:t>
      </w:r>
      <w:r w:rsidR="00DE03D1" w:rsidRPr="008F2F4F">
        <w:rPr>
          <w:szCs w:val="22"/>
        </w:rPr>
        <w:t xml:space="preserve"> </w:t>
      </w:r>
      <w:r w:rsidR="0013466A">
        <w:rPr>
          <w:szCs w:val="22"/>
        </w:rPr>
        <w:t>του Ομίλου</w:t>
      </w:r>
      <w:r w:rsidR="0013466A" w:rsidRPr="008F2F4F">
        <w:rPr>
          <w:szCs w:val="22"/>
        </w:rPr>
        <w:t xml:space="preserve"> </w:t>
      </w:r>
      <w:r w:rsidR="00DE03D1" w:rsidRPr="008F2F4F">
        <w:rPr>
          <w:szCs w:val="22"/>
        </w:rPr>
        <w:t xml:space="preserve">ΔΕΗ </w:t>
      </w:r>
      <w:r>
        <w:rPr>
          <w:szCs w:val="22"/>
        </w:rPr>
        <w:t>στη δημιουργία</w:t>
      </w:r>
      <w:r w:rsidR="005A28FC">
        <w:rPr>
          <w:szCs w:val="22"/>
        </w:rPr>
        <w:t xml:space="preserve"> ενός</w:t>
      </w:r>
      <w:r w:rsidR="00DE03D1" w:rsidRPr="00F979FE">
        <w:rPr>
          <w:szCs w:val="22"/>
        </w:rPr>
        <w:t xml:space="preserve"> πιο καθαρ</w:t>
      </w:r>
      <w:r w:rsidR="005A28FC">
        <w:rPr>
          <w:szCs w:val="22"/>
        </w:rPr>
        <w:t>ού</w:t>
      </w:r>
      <w:r w:rsidR="00DE03D1" w:rsidRPr="00F979FE">
        <w:rPr>
          <w:szCs w:val="22"/>
        </w:rPr>
        <w:t xml:space="preserve"> </w:t>
      </w:r>
      <w:r w:rsidR="005A28FC">
        <w:rPr>
          <w:szCs w:val="22"/>
        </w:rPr>
        <w:t>χαρτοφυλακίου</w:t>
      </w:r>
      <w:r w:rsidR="005A28FC" w:rsidRPr="00F979FE">
        <w:rPr>
          <w:szCs w:val="22"/>
        </w:rPr>
        <w:t xml:space="preserve"> </w:t>
      </w:r>
      <w:r w:rsidR="00DE03D1" w:rsidRPr="00F979FE">
        <w:rPr>
          <w:szCs w:val="22"/>
        </w:rPr>
        <w:t xml:space="preserve">μονάδων </w:t>
      </w:r>
      <w:r w:rsidR="00C05730" w:rsidRPr="00F979FE">
        <w:rPr>
          <w:szCs w:val="22"/>
        </w:rPr>
        <w:t>αντικατοπτρίζ</w:t>
      </w:r>
      <w:r w:rsidR="00C05730">
        <w:rPr>
          <w:szCs w:val="22"/>
        </w:rPr>
        <w:t>εται</w:t>
      </w:r>
      <w:r w:rsidR="00C05730" w:rsidRPr="00F979FE">
        <w:rPr>
          <w:szCs w:val="22"/>
        </w:rPr>
        <w:t xml:space="preserve"> </w:t>
      </w:r>
      <w:r w:rsidR="00DE03D1" w:rsidRPr="00F979FE">
        <w:rPr>
          <w:szCs w:val="22"/>
        </w:rPr>
        <w:t xml:space="preserve">και στις βαθμολογίες που λαμβάνει από διεθνείς οργανισμούς και </w:t>
      </w:r>
      <w:r w:rsidR="00DE03D1" w:rsidRPr="00050545">
        <w:rPr>
          <w:szCs w:val="22"/>
        </w:rPr>
        <w:t xml:space="preserve">οίκους αξιολόγησης σε θέματα ESG και </w:t>
      </w:r>
      <w:r w:rsidR="00F22A08">
        <w:rPr>
          <w:szCs w:val="22"/>
        </w:rPr>
        <w:t>πρακτικές βιωσιμότητας</w:t>
      </w:r>
      <w:r w:rsidR="00DE03D1" w:rsidRPr="00050545">
        <w:rPr>
          <w:szCs w:val="22"/>
        </w:rPr>
        <w:t xml:space="preserve">. Συγκεκριμένα, σε συνέχεια της βελτίωσης της βαθμολογίας της ΔΕΗ στο δείκτη CDP σε </w:t>
      </w:r>
      <w:r w:rsidR="00DE03D1" w:rsidRPr="003F0621">
        <w:rPr>
          <w:szCs w:val="22"/>
        </w:rPr>
        <w:t>“</w:t>
      </w:r>
      <w:r w:rsidR="00DE03D1" w:rsidRPr="00050545">
        <w:rPr>
          <w:szCs w:val="22"/>
        </w:rPr>
        <w:t>Β</w:t>
      </w:r>
      <w:r w:rsidR="00DE03D1" w:rsidRPr="003F0621">
        <w:rPr>
          <w:szCs w:val="22"/>
        </w:rPr>
        <w:t>”</w:t>
      </w:r>
      <w:r w:rsidR="00DE03D1" w:rsidRPr="00050545">
        <w:rPr>
          <w:szCs w:val="22"/>
        </w:rPr>
        <w:t xml:space="preserve"> στις αρχές του έτους, ήρθαν να προστεθούν δύο νέες αναβαθμίσεις </w:t>
      </w:r>
      <w:r w:rsidR="005A28FC">
        <w:rPr>
          <w:szCs w:val="22"/>
        </w:rPr>
        <w:t>του Ομίλου</w:t>
      </w:r>
      <w:r w:rsidR="00DE03D1" w:rsidRPr="00050545">
        <w:rPr>
          <w:szCs w:val="22"/>
        </w:rPr>
        <w:t xml:space="preserve"> σε θέματα ESG</w:t>
      </w:r>
      <w:r w:rsidR="00B047C5">
        <w:rPr>
          <w:szCs w:val="22"/>
        </w:rPr>
        <w:t>. Συγκεκριμένα</w:t>
      </w:r>
      <w:r w:rsidR="00DE03D1" w:rsidRPr="00050545">
        <w:rPr>
          <w:szCs w:val="22"/>
        </w:rPr>
        <w:t xml:space="preserve">: </w:t>
      </w:r>
    </w:p>
    <w:p w14:paraId="13E61B44" w14:textId="10EFC7F5" w:rsidR="00DE03D1" w:rsidRPr="00050545" w:rsidRDefault="00DE03D1" w:rsidP="00AF1E87">
      <w:pPr>
        <w:pStyle w:val="DehPressRelease"/>
        <w:numPr>
          <w:ilvl w:val="0"/>
          <w:numId w:val="23"/>
        </w:numPr>
        <w:ind w:left="284" w:hanging="207"/>
        <w:jc w:val="both"/>
        <w:rPr>
          <w:szCs w:val="22"/>
        </w:rPr>
      </w:pPr>
      <w:r w:rsidRPr="00050545">
        <w:rPr>
          <w:szCs w:val="22"/>
        </w:rPr>
        <w:t xml:space="preserve">από τον διεθνώς αναγνωρισμένο οργανισμό ISS ο οποίος αναβάθμισε τη συνολική αξιολόγηση της </w:t>
      </w:r>
      <w:r>
        <w:rPr>
          <w:szCs w:val="22"/>
        </w:rPr>
        <w:t>ΔΕΗ</w:t>
      </w:r>
      <w:r w:rsidRPr="00050545">
        <w:rPr>
          <w:szCs w:val="22"/>
        </w:rPr>
        <w:t xml:space="preserve"> σε </w:t>
      </w:r>
      <w:r w:rsidRPr="00A01EFE">
        <w:rPr>
          <w:szCs w:val="22"/>
        </w:rPr>
        <w:t>“</w:t>
      </w:r>
      <w:r w:rsidRPr="00050545">
        <w:rPr>
          <w:szCs w:val="22"/>
        </w:rPr>
        <w:t>C+</w:t>
      </w:r>
      <w:r w:rsidRPr="00A01EFE">
        <w:rPr>
          <w:szCs w:val="22"/>
        </w:rPr>
        <w:t>”</w:t>
      </w:r>
      <w:r w:rsidRPr="00050545">
        <w:rPr>
          <w:szCs w:val="22"/>
        </w:rPr>
        <w:t xml:space="preserve"> από </w:t>
      </w:r>
      <w:r w:rsidRPr="00A01EFE">
        <w:rPr>
          <w:szCs w:val="22"/>
        </w:rPr>
        <w:t>“</w:t>
      </w:r>
      <w:r w:rsidRPr="00050545">
        <w:rPr>
          <w:szCs w:val="22"/>
        </w:rPr>
        <w:t>C</w:t>
      </w:r>
      <w:r w:rsidRPr="00A01EFE">
        <w:rPr>
          <w:szCs w:val="22"/>
        </w:rPr>
        <w:t>”</w:t>
      </w:r>
      <w:r w:rsidRPr="00050545">
        <w:rPr>
          <w:szCs w:val="22"/>
        </w:rPr>
        <w:t xml:space="preserve"> και </w:t>
      </w:r>
    </w:p>
    <w:p w14:paraId="7DB0C04A" w14:textId="43B49568" w:rsidR="00DE03D1" w:rsidRPr="00050545" w:rsidRDefault="00DE03D1" w:rsidP="00AF1E87">
      <w:pPr>
        <w:pStyle w:val="DehPressRelease"/>
        <w:numPr>
          <w:ilvl w:val="0"/>
          <w:numId w:val="23"/>
        </w:numPr>
        <w:ind w:left="284" w:hanging="207"/>
        <w:jc w:val="both"/>
        <w:rPr>
          <w:szCs w:val="22"/>
        </w:rPr>
      </w:pPr>
      <w:r w:rsidRPr="00050545">
        <w:rPr>
          <w:szCs w:val="22"/>
        </w:rPr>
        <w:t>από την S&amp;P Global, όπου η ΔΕΗ σημείωσε άνοδο τόσο στον δείκτη CSA</w:t>
      </w:r>
      <w:r w:rsidR="000F34DC" w:rsidRPr="0043295C">
        <w:rPr>
          <w:szCs w:val="22"/>
        </w:rPr>
        <w:t xml:space="preserve">- </w:t>
      </w:r>
      <w:r w:rsidR="000F34DC" w:rsidRPr="003037E9">
        <w:rPr>
          <w:szCs w:val="22"/>
          <w:lang w:val="en-US"/>
        </w:rPr>
        <w:t>Corporate</w:t>
      </w:r>
      <w:r w:rsidR="000F34DC" w:rsidRPr="0043295C">
        <w:rPr>
          <w:szCs w:val="22"/>
        </w:rPr>
        <w:t xml:space="preserve"> </w:t>
      </w:r>
      <w:r w:rsidR="000F34DC" w:rsidRPr="003037E9">
        <w:rPr>
          <w:szCs w:val="22"/>
          <w:lang w:val="en-US"/>
        </w:rPr>
        <w:t>Sustainability</w:t>
      </w:r>
      <w:r w:rsidR="000F34DC" w:rsidRPr="0043295C">
        <w:rPr>
          <w:szCs w:val="22"/>
        </w:rPr>
        <w:t xml:space="preserve"> </w:t>
      </w:r>
      <w:r w:rsidR="000F34DC" w:rsidRPr="003037E9">
        <w:rPr>
          <w:szCs w:val="22"/>
          <w:lang w:val="en-US"/>
        </w:rPr>
        <w:t>Assessment</w:t>
      </w:r>
      <w:r w:rsidRPr="00050545">
        <w:rPr>
          <w:szCs w:val="22"/>
        </w:rPr>
        <w:t xml:space="preserve"> (σε 42 από 25) όσο και στο ESG </w:t>
      </w:r>
      <w:r w:rsidRPr="00050545">
        <w:rPr>
          <w:szCs w:val="22"/>
          <w:lang w:val="en-US"/>
        </w:rPr>
        <w:t>rating</w:t>
      </w:r>
      <w:r w:rsidRPr="00050545">
        <w:rPr>
          <w:szCs w:val="22"/>
        </w:rPr>
        <w:t xml:space="preserve"> (σε 44 από 37).</w:t>
      </w:r>
      <w:r w:rsidR="000C0625">
        <w:rPr>
          <w:szCs w:val="22"/>
        </w:rPr>
        <w:t xml:space="preserve"> </w:t>
      </w:r>
      <w:r w:rsidR="00F22A08">
        <w:rPr>
          <w:szCs w:val="22"/>
        </w:rPr>
        <w:t xml:space="preserve"> </w:t>
      </w:r>
    </w:p>
    <w:p w14:paraId="289FEB7A" w14:textId="77777777" w:rsidR="00FC32AB" w:rsidRPr="009532C6" w:rsidRDefault="00FC32AB" w:rsidP="00AF1E87">
      <w:pPr>
        <w:spacing w:after="160" w:line="259" w:lineRule="auto"/>
        <w:jc w:val="both"/>
        <w:rPr>
          <w:rFonts w:ascii="Ping LCG Regular" w:hAnsi="Ping LCG Regular"/>
          <w:sz w:val="22"/>
          <w:szCs w:val="22"/>
          <w:highlight w:val="yellow"/>
          <w:lang w:val="el-GR"/>
        </w:rPr>
      </w:pPr>
    </w:p>
    <w:p w14:paraId="714E94EE" w14:textId="77777777" w:rsidR="00DE03D1" w:rsidRPr="00904001" w:rsidRDefault="00DE03D1" w:rsidP="00AF1E87">
      <w:pPr>
        <w:pStyle w:val="DehPressRelease"/>
        <w:jc w:val="both"/>
        <w:rPr>
          <w:b/>
          <w:bCs/>
          <w:szCs w:val="22"/>
        </w:rPr>
      </w:pPr>
      <w:r w:rsidRPr="00904001">
        <w:rPr>
          <w:b/>
          <w:bCs/>
          <w:szCs w:val="22"/>
        </w:rPr>
        <w:t xml:space="preserve">Οικονομικές επιδόσεις </w:t>
      </w:r>
    </w:p>
    <w:p w14:paraId="18A7C842" w14:textId="3D352EFD" w:rsidR="00DE03D1" w:rsidRPr="00904001" w:rsidRDefault="00CC57D3" w:rsidP="00AF1E87">
      <w:pPr>
        <w:pStyle w:val="DehPressRelease"/>
        <w:jc w:val="both"/>
        <w:rPr>
          <w:b/>
          <w:bCs/>
          <w:szCs w:val="22"/>
        </w:rPr>
      </w:pPr>
      <w:r w:rsidRPr="009D46A9">
        <w:rPr>
          <w:b/>
          <w:bCs/>
          <w:szCs w:val="22"/>
        </w:rPr>
        <w:t xml:space="preserve">Τα </w:t>
      </w:r>
      <w:r w:rsidR="00DE03D1" w:rsidRPr="009D46A9">
        <w:rPr>
          <w:b/>
          <w:bCs/>
          <w:szCs w:val="22"/>
        </w:rPr>
        <w:t>προσαρμοσμένα κέρδη προ τόκων, φόρων και αποσβέσεων (EBITDA)</w:t>
      </w:r>
      <w:r w:rsidR="00DE03D1" w:rsidRPr="009D46A9">
        <w:rPr>
          <w:szCs w:val="22"/>
        </w:rPr>
        <w:t xml:space="preserve"> </w:t>
      </w:r>
      <w:r w:rsidRPr="009D46A9">
        <w:rPr>
          <w:szCs w:val="22"/>
        </w:rPr>
        <w:t>διαμορφώθηκαν</w:t>
      </w:r>
      <w:r w:rsidR="00DE03D1" w:rsidRPr="009D46A9">
        <w:rPr>
          <w:szCs w:val="22"/>
        </w:rPr>
        <w:t xml:space="preserve"> σε €</w:t>
      </w:r>
      <w:r w:rsidR="006B6DE8">
        <w:rPr>
          <w:szCs w:val="22"/>
        </w:rPr>
        <w:t>0,45 δισ</w:t>
      </w:r>
      <w:r w:rsidR="00DE03D1" w:rsidRPr="009D46A9">
        <w:rPr>
          <w:szCs w:val="22"/>
        </w:rPr>
        <w:t xml:space="preserve">., </w:t>
      </w:r>
      <w:r w:rsidR="00E346BC" w:rsidRPr="00904001">
        <w:rPr>
          <w:szCs w:val="22"/>
        </w:rPr>
        <w:t xml:space="preserve">ενώ </w:t>
      </w:r>
      <w:r w:rsidR="00BE1986" w:rsidRPr="00904001">
        <w:rPr>
          <w:b/>
          <w:bCs/>
          <w:szCs w:val="22"/>
        </w:rPr>
        <w:t>τ</w:t>
      </w:r>
      <w:r w:rsidR="009450AF" w:rsidRPr="00904001">
        <w:rPr>
          <w:b/>
          <w:bCs/>
          <w:szCs w:val="22"/>
        </w:rPr>
        <w:t>α προσαρμοσμένα καθαρά κέρδη μετά την αφαίρεση των δικαιωμάτων μειοψηφίας</w:t>
      </w:r>
      <w:r w:rsidR="009450AF" w:rsidRPr="00904001">
        <w:rPr>
          <w:szCs w:val="22"/>
        </w:rPr>
        <w:t xml:space="preserve"> διαμορφώθηκαν σε €</w:t>
      </w:r>
      <w:r w:rsidR="006B6DE8">
        <w:rPr>
          <w:szCs w:val="22"/>
        </w:rPr>
        <w:t>0,</w:t>
      </w:r>
      <w:r w:rsidR="00F40025" w:rsidRPr="00904001">
        <w:rPr>
          <w:szCs w:val="22"/>
        </w:rPr>
        <w:t>77</w:t>
      </w:r>
      <w:r w:rsidR="009450AF" w:rsidRPr="00904001">
        <w:rPr>
          <w:szCs w:val="22"/>
        </w:rPr>
        <w:t xml:space="preserve"> </w:t>
      </w:r>
      <w:r w:rsidR="00C44857">
        <w:rPr>
          <w:szCs w:val="22"/>
        </w:rPr>
        <w:t>δισ</w:t>
      </w:r>
      <w:r w:rsidR="009450AF" w:rsidRPr="00904001">
        <w:rPr>
          <w:szCs w:val="22"/>
        </w:rPr>
        <w:t>.</w:t>
      </w:r>
      <w:r w:rsidR="006C381E" w:rsidRPr="00904001">
        <w:rPr>
          <w:rStyle w:val="FootnoteReference"/>
          <w:szCs w:val="22"/>
        </w:rPr>
        <w:footnoteReference w:id="3"/>
      </w:r>
      <w:r w:rsidR="00DE03D1" w:rsidRPr="00904001">
        <w:rPr>
          <w:szCs w:val="22"/>
        </w:rPr>
        <w:t xml:space="preserve"> </w:t>
      </w:r>
    </w:p>
    <w:p w14:paraId="77BA5793" w14:textId="581541E9" w:rsidR="00DE03D1" w:rsidRPr="00CB53E4" w:rsidRDefault="00DE03D1" w:rsidP="00AF1E87">
      <w:pPr>
        <w:pStyle w:val="DehPressRelease"/>
        <w:jc w:val="both"/>
        <w:rPr>
          <w:noProof/>
        </w:rPr>
      </w:pPr>
      <w:r w:rsidRPr="00904001">
        <w:rPr>
          <w:b/>
          <w:bCs/>
          <w:szCs w:val="22"/>
        </w:rPr>
        <w:t>Ισχυρή χρηματοοικονομική</w:t>
      </w:r>
      <w:r w:rsidRPr="00390F52">
        <w:rPr>
          <w:b/>
          <w:bCs/>
          <w:szCs w:val="22"/>
        </w:rPr>
        <w:t xml:space="preserve"> θέση</w:t>
      </w:r>
      <w:r w:rsidRPr="00390F52">
        <w:rPr>
          <w:szCs w:val="22"/>
        </w:rPr>
        <w:t xml:space="preserve"> παρά </w:t>
      </w:r>
      <w:r w:rsidR="00767058">
        <w:rPr>
          <w:szCs w:val="22"/>
        </w:rPr>
        <w:t>τις υψηλές επενδύσεις</w:t>
      </w:r>
      <w:r w:rsidRPr="00390F52">
        <w:rPr>
          <w:szCs w:val="22"/>
        </w:rPr>
        <w:t xml:space="preserve">. Ο δείκτης Καθαρό χρέος/EBITDA διαμορφώθηκε σε </w:t>
      </w:r>
      <w:r>
        <w:rPr>
          <w:szCs w:val="22"/>
        </w:rPr>
        <w:t>2</w:t>
      </w:r>
      <w:r w:rsidRPr="00390F52">
        <w:rPr>
          <w:szCs w:val="22"/>
        </w:rPr>
        <w:t>,</w:t>
      </w:r>
      <w:r>
        <w:rPr>
          <w:szCs w:val="22"/>
        </w:rPr>
        <w:t>9</w:t>
      </w:r>
      <w:r w:rsidRPr="00390F52">
        <w:rPr>
          <w:szCs w:val="22"/>
          <w:lang w:val="en-US"/>
        </w:rPr>
        <w:t>x</w:t>
      </w:r>
      <w:r w:rsidRPr="00390F52">
        <w:rPr>
          <w:szCs w:val="22"/>
        </w:rPr>
        <w:t xml:space="preserve">, αρκετά χαμηλότερα από το όριο του 3,5x που έχει θέσει η ΔΕΗ, με τον καθαρό δανεισμό να διαμορφώνεται </w:t>
      </w:r>
      <w:r w:rsidRPr="00F27345">
        <w:rPr>
          <w:szCs w:val="22"/>
        </w:rPr>
        <w:t>σε €5,</w:t>
      </w:r>
      <w:r>
        <w:rPr>
          <w:szCs w:val="22"/>
        </w:rPr>
        <w:t xml:space="preserve">2 </w:t>
      </w:r>
      <w:r w:rsidRPr="00F27345">
        <w:rPr>
          <w:szCs w:val="22"/>
        </w:rPr>
        <w:t>δισ</w:t>
      </w:r>
      <w:r w:rsidRPr="00390F52">
        <w:rPr>
          <w:szCs w:val="22"/>
        </w:rPr>
        <w:t>. στις 31.03.2025</w:t>
      </w:r>
      <w:r w:rsidR="0030429D">
        <w:rPr>
          <w:szCs w:val="22"/>
        </w:rPr>
        <w:t>, χωρίς σημαντική μεταβολή σε σχέση με το τέλος του 2024</w:t>
      </w:r>
      <w:r w:rsidRPr="00390F52">
        <w:rPr>
          <w:szCs w:val="22"/>
        </w:rPr>
        <w:t>.</w:t>
      </w:r>
      <w:r w:rsidRPr="000123F3">
        <w:rPr>
          <w:noProof/>
        </w:rPr>
        <w:t xml:space="preserve"> </w:t>
      </w:r>
    </w:p>
    <w:p w14:paraId="42BEAD2B" w14:textId="03AE3980" w:rsidR="00DE03D1" w:rsidRDefault="00DE03D1" w:rsidP="00AF1E87">
      <w:pPr>
        <w:pStyle w:val="DehPressRelease"/>
        <w:jc w:val="both"/>
        <w:rPr>
          <w:szCs w:val="22"/>
        </w:rPr>
      </w:pPr>
      <w:r w:rsidRPr="00546E81">
        <w:rPr>
          <w:b/>
          <w:bCs/>
          <w:szCs w:val="22"/>
        </w:rPr>
        <w:t>Πρόταση για διανομή μερίσματος €0,40/μετοχή</w:t>
      </w:r>
      <w:r>
        <w:rPr>
          <w:b/>
          <w:bCs/>
          <w:szCs w:val="22"/>
        </w:rPr>
        <w:t xml:space="preserve"> </w:t>
      </w:r>
      <w:r w:rsidRPr="00D43C2E">
        <w:rPr>
          <w:szCs w:val="22"/>
        </w:rPr>
        <w:t>(</w:t>
      </w:r>
      <w:r w:rsidRPr="00670502">
        <w:rPr>
          <w:szCs w:val="22"/>
        </w:rPr>
        <w:t xml:space="preserve">στο οποίο έχει συνυπολογισθεί η εξαίρεση των ιδίων μετοχών που έχει αποκτήσει η </w:t>
      </w:r>
      <w:r>
        <w:rPr>
          <w:szCs w:val="22"/>
        </w:rPr>
        <w:t>ΔΕΗ</w:t>
      </w:r>
      <w:r w:rsidRPr="00670502">
        <w:rPr>
          <w:szCs w:val="22"/>
        </w:rPr>
        <w:t xml:space="preserve"> και δεν δικαιούνται μερίσματος</w:t>
      </w:r>
      <w:r>
        <w:rPr>
          <w:szCs w:val="22"/>
        </w:rPr>
        <w:t>)</w:t>
      </w:r>
      <w:r w:rsidRPr="00546E81">
        <w:rPr>
          <w:szCs w:val="22"/>
        </w:rPr>
        <w:t>,</w:t>
      </w:r>
      <w:r>
        <w:rPr>
          <w:szCs w:val="22"/>
        </w:rPr>
        <w:t xml:space="preserve"> στην Τακτική Γενική Συνέλευση των Μετόχων στις 25 Ιουνίου 2025. Ημερομηνία αποκοπής έχει ορισθεί η 21</w:t>
      </w:r>
      <w:r w:rsidRPr="005E0A50">
        <w:rPr>
          <w:szCs w:val="22"/>
          <w:vertAlign w:val="superscript"/>
        </w:rPr>
        <w:t>η</w:t>
      </w:r>
      <w:r>
        <w:rPr>
          <w:szCs w:val="22"/>
        </w:rPr>
        <w:t xml:space="preserve"> Ιουλίου 2025.</w:t>
      </w:r>
      <w:r w:rsidR="000C0625">
        <w:rPr>
          <w:szCs w:val="22"/>
        </w:rPr>
        <w:t xml:space="preserve"> </w:t>
      </w:r>
    </w:p>
    <w:p w14:paraId="3A994548" w14:textId="77777777" w:rsidR="00EB2A0F" w:rsidRDefault="00EB2A0F">
      <w:pPr>
        <w:rPr>
          <w:rFonts w:ascii="Ping LCG Regular" w:hAnsi="Ping LCG Regular"/>
          <w:b/>
          <w:bCs/>
          <w:sz w:val="22"/>
          <w:szCs w:val="22"/>
          <w:lang w:val="el-GR"/>
        </w:rPr>
      </w:pPr>
      <w:r w:rsidRPr="005B51C4">
        <w:rPr>
          <w:b/>
          <w:bCs/>
          <w:szCs w:val="22"/>
          <w:lang w:val="el-GR"/>
        </w:rPr>
        <w:br w:type="page"/>
      </w:r>
    </w:p>
    <w:p w14:paraId="280633BF" w14:textId="5B467F94" w:rsidR="00DE03D1" w:rsidRPr="009D46A9" w:rsidRDefault="00DE03D1" w:rsidP="00AF1E87">
      <w:pPr>
        <w:pStyle w:val="DehPressRelease"/>
        <w:jc w:val="both"/>
        <w:rPr>
          <w:b/>
          <w:bCs/>
          <w:szCs w:val="22"/>
        </w:rPr>
      </w:pPr>
      <w:r w:rsidRPr="009D46A9">
        <w:rPr>
          <w:b/>
          <w:bCs/>
          <w:szCs w:val="22"/>
        </w:rPr>
        <w:lastRenderedPageBreak/>
        <w:t xml:space="preserve">Προοπτικές για το 2025 </w:t>
      </w:r>
    </w:p>
    <w:p w14:paraId="527D6290" w14:textId="1D4854AA" w:rsidR="00FC32AB" w:rsidRPr="00FF30A7" w:rsidRDefault="00F8064E" w:rsidP="00CF332A">
      <w:pPr>
        <w:pStyle w:val="DehPressRelease"/>
        <w:jc w:val="both"/>
        <w:rPr>
          <w:szCs w:val="22"/>
        </w:rPr>
      </w:pPr>
      <w:r w:rsidRPr="009D46A9">
        <w:rPr>
          <w:szCs w:val="22"/>
        </w:rPr>
        <w:t>Η ΔΕΗ συνεχίζει την κατασκευή έργων ΑΠΕ στοχεύοντας στην περαιτέρω αύξηση της εγκατεστημένης ισχύος</w:t>
      </w:r>
      <w:r w:rsidR="00D2220C" w:rsidRPr="009D46A9">
        <w:rPr>
          <w:szCs w:val="22"/>
        </w:rPr>
        <w:t xml:space="preserve"> και </w:t>
      </w:r>
      <w:r w:rsidRPr="009D46A9">
        <w:rPr>
          <w:szCs w:val="22"/>
        </w:rPr>
        <w:t>επιβεβαιώνει τους στόχους για το 2025, για προσαρμοσμένο EBITDA ύψους €2 δισ., προσαρμοσμένα καθαρά κέρδη μετά την αφαίρεση των δικαιωμάτων μειοψηφίας άνω των €0,4 δισ. και διανομή μερίσματος ύψους €0,60/μετοχή (+140% σε σχέση με την εταιρική χρήση του 2023).</w:t>
      </w:r>
    </w:p>
    <w:p w14:paraId="3413C997" w14:textId="77777777" w:rsidR="00CF332A" w:rsidRPr="00FF30A7" w:rsidRDefault="00CF332A" w:rsidP="00CF332A">
      <w:pPr>
        <w:pStyle w:val="DehPressRelease"/>
        <w:jc w:val="both"/>
        <w:rPr>
          <w:b/>
          <w:bCs/>
          <w:szCs w:val="22"/>
        </w:rPr>
      </w:pPr>
    </w:p>
    <w:p w14:paraId="792F6165" w14:textId="1810AB03" w:rsidR="00DE03D1" w:rsidRPr="00F41509" w:rsidRDefault="00DE03D1" w:rsidP="00DE03D1">
      <w:pPr>
        <w:pStyle w:val="DehPressRelease"/>
        <w:jc w:val="both"/>
        <w:rPr>
          <w:b/>
          <w:bCs/>
          <w:szCs w:val="22"/>
        </w:rPr>
      </w:pPr>
      <w:r w:rsidRPr="00F41509">
        <w:rPr>
          <w:b/>
          <w:bCs/>
          <w:szCs w:val="22"/>
        </w:rPr>
        <w:t>Σχολιάζοντας τα αποτελέσματα, ο Γεώργιος Στάσσης, Πρόεδρος και Διευθύνων Σύμβουλος της ΔΕΗ δήλωσε:</w:t>
      </w:r>
    </w:p>
    <w:p w14:paraId="7CDA028E" w14:textId="22EABDF7" w:rsidR="00BF0003" w:rsidRPr="00E44BD7" w:rsidRDefault="00DE03D1" w:rsidP="00BF0003">
      <w:pPr>
        <w:pStyle w:val="DehPressRelease"/>
        <w:jc w:val="both"/>
        <w:rPr>
          <w:i/>
          <w:iCs/>
          <w:szCs w:val="22"/>
        </w:rPr>
      </w:pPr>
      <w:r w:rsidRPr="009D46A9">
        <w:rPr>
          <w:i/>
          <w:iCs/>
          <w:szCs w:val="22"/>
        </w:rPr>
        <w:t>«</w:t>
      </w:r>
      <w:r w:rsidR="00BF0003" w:rsidRPr="009D46A9">
        <w:rPr>
          <w:i/>
          <w:iCs/>
          <w:szCs w:val="22"/>
        </w:rPr>
        <w:t>Τα αποτελέσματα του πρώτου τριμήνου αναδεικνύουν τη</w:t>
      </w:r>
      <w:r w:rsidR="00883961" w:rsidRPr="009D46A9">
        <w:rPr>
          <w:i/>
          <w:iCs/>
          <w:szCs w:val="22"/>
        </w:rPr>
        <w:t xml:space="preserve">ν αξία </w:t>
      </w:r>
      <w:r w:rsidR="00BF0003" w:rsidRPr="009D46A9">
        <w:rPr>
          <w:i/>
          <w:iCs/>
          <w:szCs w:val="22"/>
        </w:rPr>
        <w:t xml:space="preserve">και την ανθεκτικότητα του ολοκληρωμένου επιχειρηματικού μας μοντέλου, το οποίο συνεχίζει να λειτουργεί ως φυσική αντιστάθμιση κινδύνου – </w:t>
      </w:r>
      <w:r w:rsidR="00C2151A" w:rsidRPr="009D46A9">
        <w:rPr>
          <w:i/>
          <w:iCs/>
          <w:szCs w:val="22"/>
        </w:rPr>
        <w:t>μετριάζοντας</w:t>
      </w:r>
      <w:r w:rsidR="00BF0003" w:rsidRPr="009D46A9">
        <w:rPr>
          <w:i/>
          <w:iCs/>
          <w:szCs w:val="22"/>
        </w:rPr>
        <w:t xml:space="preserve"> </w:t>
      </w:r>
      <w:r w:rsidR="00C2151A" w:rsidRPr="009D46A9">
        <w:rPr>
          <w:i/>
          <w:iCs/>
          <w:szCs w:val="22"/>
        </w:rPr>
        <w:t>τις αρνητικές επιπτώσεις από τη</w:t>
      </w:r>
      <w:r w:rsidR="00BF0003" w:rsidRPr="009D46A9">
        <w:rPr>
          <w:i/>
          <w:iCs/>
          <w:szCs w:val="22"/>
        </w:rPr>
        <w:t xml:space="preserve"> μεταβλητότητα της αγοράς και </w:t>
      </w:r>
      <w:r w:rsidR="006C318F" w:rsidRPr="009D46A9">
        <w:rPr>
          <w:i/>
          <w:iCs/>
          <w:szCs w:val="22"/>
        </w:rPr>
        <w:t xml:space="preserve">τις </w:t>
      </w:r>
      <w:r w:rsidR="00C2151A" w:rsidRPr="009D46A9">
        <w:rPr>
          <w:i/>
          <w:iCs/>
          <w:szCs w:val="22"/>
        </w:rPr>
        <w:t>προκλήσεις σε λειτουργικό επίπεδο.</w:t>
      </w:r>
      <w:r w:rsidR="00BF0003" w:rsidRPr="009D46A9">
        <w:rPr>
          <w:i/>
          <w:iCs/>
          <w:szCs w:val="22"/>
        </w:rPr>
        <w:t xml:space="preserve"> Παρά τις </w:t>
      </w:r>
      <w:r w:rsidR="001E3DE2">
        <w:rPr>
          <w:i/>
          <w:iCs/>
          <w:szCs w:val="22"/>
        </w:rPr>
        <w:t>μη ευνοϊκές</w:t>
      </w:r>
      <w:r w:rsidR="001E3DE2" w:rsidRPr="00E44BD7">
        <w:rPr>
          <w:i/>
          <w:iCs/>
          <w:szCs w:val="22"/>
        </w:rPr>
        <w:t xml:space="preserve"> </w:t>
      </w:r>
      <w:r w:rsidR="00BF0003" w:rsidRPr="00E44BD7">
        <w:rPr>
          <w:i/>
          <w:iCs/>
          <w:szCs w:val="22"/>
        </w:rPr>
        <w:t xml:space="preserve">υδρολογικές και </w:t>
      </w:r>
      <w:proofErr w:type="spellStart"/>
      <w:r w:rsidR="00BF0003" w:rsidRPr="00E44BD7">
        <w:rPr>
          <w:i/>
          <w:iCs/>
          <w:szCs w:val="22"/>
        </w:rPr>
        <w:t>ανεμολογικές</w:t>
      </w:r>
      <w:proofErr w:type="spellEnd"/>
      <w:r w:rsidR="00BF0003" w:rsidRPr="00E44BD7">
        <w:rPr>
          <w:i/>
          <w:iCs/>
          <w:szCs w:val="22"/>
        </w:rPr>
        <w:t xml:space="preserve"> συνθήκες που επηρέασαν την παραγωγή από ΑΠΕ</w:t>
      </w:r>
      <w:r w:rsidR="007E2276" w:rsidRPr="00E44BD7">
        <w:rPr>
          <w:i/>
          <w:iCs/>
          <w:szCs w:val="22"/>
        </w:rPr>
        <w:t xml:space="preserve"> </w:t>
      </w:r>
      <w:r w:rsidR="001E3DE2">
        <w:rPr>
          <w:i/>
          <w:iCs/>
          <w:szCs w:val="22"/>
        </w:rPr>
        <w:t xml:space="preserve">στο πρώτο τρίμηνο </w:t>
      </w:r>
      <w:r w:rsidR="007E2276" w:rsidRPr="00E44BD7">
        <w:rPr>
          <w:i/>
          <w:iCs/>
          <w:szCs w:val="22"/>
        </w:rPr>
        <w:t>και την εποχικότητα στην δραστηριότητα της διανομής</w:t>
      </w:r>
      <w:r w:rsidR="00BF0003" w:rsidRPr="00E44BD7">
        <w:rPr>
          <w:i/>
          <w:iCs/>
          <w:szCs w:val="22"/>
        </w:rPr>
        <w:t xml:space="preserve">, η απόδοσή μας </w:t>
      </w:r>
      <w:r w:rsidR="001E3DE2">
        <w:rPr>
          <w:i/>
          <w:iCs/>
          <w:szCs w:val="22"/>
        </w:rPr>
        <w:t>παραμένει</w:t>
      </w:r>
      <w:r w:rsidR="001E3DE2" w:rsidRPr="00E44BD7">
        <w:rPr>
          <w:i/>
          <w:iCs/>
          <w:szCs w:val="22"/>
        </w:rPr>
        <w:t xml:space="preserve"> </w:t>
      </w:r>
      <w:r w:rsidR="00AA7195" w:rsidRPr="00E44BD7">
        <w:rPr>
          <w:i/>
          <w:iCs/>
          <w:szCs w:val="22"/>
        </w:rPr>
        <w:t>ανθεκτική</w:t>
      </w:r>
      <w:r w:rsidR="00BF0003" w:rsidRPr="00E44BD7">
        <w:rPr>
          <w:i/>
          <w:iCs/>
          <w:szCs w:val="22"/>
        </w:rPr>
        <w:t xml:space="preserve"> και εντός των </w:t>
      </w:r>
      <w:r w:rsidR="007E17DB" w:rsidRPr="00E44BD7">
        <w:rPr>
          <w:i/>
          <w:iCs/>
          <w:szCs w:val="22"/>
        </w:rPr>
        <w:t>στόχων μας</w:t>
      </w:r>
      <w:r w:rsidR="00BF0003" w:rsidRPr="00E44BD7">
        <w:rPr>
          <w:i/>
          <w:iCs/>
          <w:szCs w:val="22"/>
        </w:rPr>
        <w:t>.</w:t>
      </w:r>
    </w:p>
    <w:p w14:paraId="051C3C27" w14:textId="5859A308" w:rsidR="00BF0003" w:rsidRPr="00E44BD7" w:rsidRDefault="00BF0003" w:rsidP="00BF0003">
      <w:pPr>
        <w:pStyle w:val="DehPressRelease"/>
        <w:jc w:val="both"/>
        <w:rPr>
          <w:i/>
          <w:iCs/>
          <w:szCs w:val="22"/>
        </w:rPr>
      </w:pPr>
      <w:r w:rsidRPr="00E44BD7">
        <w:rPr>
          <w:i/>
          <w:iCs/>
          <w:szCs w:val="22"/>
        </w:rPr>
        <w:t>Συνεχίσαμε την υλοποίηση του στρατηγικού μας πλάνου, επενδύοντας €</w:t>
      </w:r>
      <w:r w:rsidR="007E17DB" w:rsidRPr="00E44BD7">
        <w:rPr>
          <w:i/>
          <w:iCs/>
          <w:szCs w:val="22"/>
        </w:rPr>
        <w:t>0,5</w:t>
      </w:r>
      <w:r w:rsidRPr="00E44BD7">
        <w:rPr>
          <w:i/>
          <w:iCs/>
          <w:szCs w:val="22"/>
        </w:rPr>
        <w:t xml:space="preserve"> δισ. το </w:t>
      </w:r>
      <w:r w:rsidR="00DB433C" w:rsidRPr="00E44BD7">
        <w:rPr>
          <w:i/>
          <w:iCs/>
          <w:szCs w:val="22"/>
        </w:rPr>
        <w:t xml:space="preserve">πρώτο </w:t>
      </w:r>
      <w:r w:rsidRPr="00E44BD7">
        <w:rPr>
          <w:i/>
          <w:iCs/>
          <w:szCs w:val="22"/>
        </w:rPr>
        <w:t xml:space="preserve">τρίμηνο, </w:t>
      </w:r>
      <w:r w:rsidR="00AD2799" w:rsidRPr="00E44BD7">
        <w:rPr>
          <w:i/>
          <w:iCs/>
          <w:szCs w:val="22"/>
        </w:rPr>
        <w:t xml:space="preserve">αναμένοντας επιτάχυνση των επενδύσεων </w:t>
      </w:r>
      <w:r w:rsidR="00312431" w:rsidRPr="00E44BD7">
        <w:rPr>
          <w:i/>
          <w:iCs/>
          <w:szCs w:val="22"/>
        </w:rPr>
        <w:t>τα επόμενα τρίμηνα.</w:t>
      </w:r>
      <w:r w:rsidRPr="00E44BD7">
        <w:rPr>
          <w:i/>
          <w:iCs/>
          <w:szCs w:val="22"/>
        </w:rPr>
        <w:t xml:space="preserve"> Ιδιαίτερα σημαντική ήταν η προσθήκη </w:t>
      </w:r>
      <w:r w:rsidR="00312431" w:rsidRPr="00E44BD7">
        <w:rPr>
          <w:i/>
          <w:iCs/>
          <w:szCs w:val="22"/>
        </w:rPr>
        <w:t>0,7</w:t>
      </w:r>
      <w:r w:rsidRPr="00E44BD7">
        <w:rPr>
          <w:i/>
          <w:iCs/>
          <w:szCs w:val="22"/>
        </w:rPr>
        <w:t xml:space="preserve">GW νέας εγκατεστημένης ισχύος από ΑΠΕ, με αρκετά εμβληματικά έργα να προχωρούν σύμφωνα με το </w:t>
      </w:r>
      <w:r w:rsidR="00783146" w:rsidRPr="00E44BD7">
        <w:rPr>
          <w:i/>
          <w:iCs/>
          <w:szCs w:val="22"/>
        </w:rPr>
        <w:t>σχεδιασμό μας</w:t>
      </w:r>
      <w:r w:rsidRPr="00E44BD7">
        <w:rPr>
          <w:i/>
          <w:iCs/>
          <w:szCs w:val="22"/>
        </w:rPr>
        <w:t xml:space="preserve">. Η πρόοδος αυτή επιβεβαιώνει τη δέσμευσή μας για </w:t>
      </w:r>
      <w:r w:rsidR="00783146" w:rsidRPr="00E44BD7">
        <w:rPr>
          <w:i/>
          <w:iCs/>
          <w:szCs w:val="22"/>
        </w:rPr>
        <w:t>περαιτέρω</w:t>
      </w:r>
      <w:r w:rsidR="001A17EB" w:rsidRPr="00E44BD7">
        <w:rPr>
          <w:i/>
          <w:iCs/>
          <w:szCs w:val="22"/>
        </w:rPr>
        <w:t xml:space="preserve"> </w:t>
      </w:r>
      <w:r w:rsidRPr="00E44BD7">
        <w:rPr>
          <w:i/>
          <w:iCs/>
          <w:szCs w:val="22"/>
        </w:rPr>
        <w:t>ενίσχυση της θέσης μας στην ενεργειακή μετάβαση.</w:t>
      </w:r>
    </w:p>
    <w:p w14:paraId="500111DD" w14:textId="006FA615" w:rsidR="00BF0003" w:rsidRPr="00E44BD7" w:rsidRDefault="00BF0003" w:rsidP="00BF0003">
      <w:pPr>
        <w:pStyle w:val="DehPressRelease"/>
        <w:jc w:val="both"/>
        <w:rPr>
          <w:i/>
          <w:iCs/>
          <w:szCs w:val="22"/>
        </w:rPr>
      </w:pPr>
      <w:r w:rsidRPr="00E44BD7">
        <w:rPr>
          <w:i/>
          <w:iCs/>
          <w:szCs w:val="22"/>
        </w:rPr>
        <w:t xml:space="preserve">Παράλληλα, προχωρούμε σταθερά προς την επίτευξη του στόχου </w:t>
      </w:r>
      <w:r w:rsidR="001A17EB" w:rsidRPr="00E44BD7">
        <w:rPr>
          <w:i/>
          <w:iCs/>
          <w:szCs w:val="22"/>
        </w:rPr>
        <w:t>για πλήρη</w:t>
      </w:r>
      <w:r w:rsidRPr="00E44BD7">
        <w:rPr>
          <w:i/>
          <w:iCs/>
          <w:szCs w:val="22"/>
        </w:rPr>
        <w:t xml:space="preserve"> απεξάρτηση από τον λιγνίτη έως το 2026, σε απόλυτη ευθυγράμμιση με τους στόχους </w:t>
      </w:r>
      <w:proofErr w:type="spellStart"/>
      <w:r w:rsidRPr="00E44BD7">
        <w:rPr>
          <w:i/>
          <w:iCs/>
          <w:szCs w:val="22"/>
        </w:rPr>
        <w:t>απ</w:t>
      </w:r>
      <w:r w:rsidR="007B02BF">
        <w:rPr>
          <w:i/>
          <w:iCs/>
          <w:szCs w:val="22"/>
        </w:rPr>
        <w:t>ο</w:t>
      </w:r>
      <w:r w:rsidRPr="00E44BD7">
        <w:rPr>
          <w:i/>
          <w:iCs/>
          <w:szCs w:val="22"/>
        </w:rPr>
        <w:t>ανθρακοποίησης</w:t>
      </w:r>
      <w:proofErr w:type="spellEnd"/>
      <w:r w:rsidRPr="00E44BD7">
        <w:rPr>
          <w:i/>
          <w:iCs/>
          <w:szCs w:val="22"/>
        </w:rPr>
        <w:t xml:space="preserve"> και τη μακροπρόθεσμη στρατηγική βιωσιμότητας του Ομίλου.</w:t>
      </w:r>
    </w:p>
    <w:p w14:paraId="217D235B" w14:textId="54CF510A" w:rsidR="00DE03D1" w:rsidRPr="001F5CA6" w:rsidRDefault="00A64A96" w:rsidP="00E57C3A">
      <w:pPr>
        <w:pStyle w:val="DehPressRelease"/>
        <w:jc w:val="both"/>
        <w:rPr>
          <w:i/>
          <w:iCs/>
          <w:color w:val="FF0000"/>
          <w:szCs w:val="22"/>
        </w:rPr>
      </w:pPr>
      <w:r w:rsidRPr="00E44BD7">
        <w:rPr>
          <w:i/>
          <w:iCs/>
          <w:szCs w:val="22"/>
        </w:rPr>
        <w:t>Αναμένουμε ισχυρότερη απόδοση στ</w:t>
      </w:r>
      <w:r w:rsidR="006C6484" w:rsidRPr="00E44BD7">
        <w:rPr>
          <w:i/>
          <w:iCs/>
          <w:szCs w:val="22"/>
        </w:rPr>
        <w:t xml:space="preserve">α επόμενα </w:t>
      </w:r>
      <w:r w:rsidR="00691264" w:rsidRPr="00E44BD7">
        <w:rPr>
          <w:i/>
          <w:iCs/>
          <w:szCs w:val="22"/>
        </w:rPr>
        <w:t>τρίμηνα</w:t>
      </w:r>
      <w:r w:rsidR="006C6484" w:rsidRPr="00E44BD7">
        <w:rPr>
          <w:i/>
          <w:iCs/>
          <w:szCs w:val="22"/>
        </w:rPr>
        <w:t xml:space="preserve"> </w:t>
      </w:r>
      <w:r w:rsidR="00A356FF" w:rsidRPr="00E44BD7">
        <w:rPr>
          <w:i/>
          <w:iCs/>
          <w:szCs w:val="22"/>
        </w:rPr>
        <w:t xml:space="preserve">και </w:t>
      </w:r>
      <w:r w:rsidRPr="00E44BD7">
        <w:rPr>
          <w:i/>
          <w:iCs/>
          <w:szCs w:val="22"/>
        </w:rPr>
        <w:t>στο πλαίσιο</w:t>
      </w:r>
      <w:r w:rsidR="00917866" w:rsidRPr="00E44BD7">
        <w:rPr>
          <w:i/>
          <w:iCs/>
          <w:szCs w:val="22"/>
        </w:rPr>
        <w:t xml:space="preserve"> αυτό </w:t>
      </w:r>
      <w:r w:rsidR="00A356FF" w:rsidRPr="00E44BD7">
        <w:rPr>
          <w:i/>
          <w:iCs/>
          <w:szCs w:val="22"/>
        </w:rPr>
        <w:t xml:space="preserve">επιβεβαιώνουμε τους </w:t>
      </w:r>
      <w:r w:rsidR="00E57C3A" w:rsidRPr="00E44BD7">
        <w:rPr>
          <w:i/>
          <w:iCs/>
          <w:szCs w:val="22"/>
        </w:rPr>
        <w:t>στόχους</w:t>
      </w:r>
      <w:r w:rsidR="00A356FF" w:rsidRPr="00E44BD7">
        <w:rPr>
          <w:i/>
          <w:iCs/>
          <w:szCs w:val="22"/>
        </w:rPr>
        <w:t xml:space="preserve"> μα</w:t>
      </w:r>
      <w:r w:rsidR="0097426A" w:rsidRPr="00E44BD7">
        <w:rPr>
          <w:i/>
          <w:iCs/>
          <w:szCs w:val="22"/>
        </w:rPr>
        <w:t>ς</w:t>
      </w:r>
      <w:r w:rsidR="00A356FF" w:rsidRPr="00E44BD7">
        <w:rPr>
          <w:i/>
          <w:iCs/>
          <w:szCs w:val="22"/>
        </w:rPr>
        <w:t xml:space="preserve"> </w:t>
      </w:r>
      <w:r w:rsidR="003E06DA" w:rsidRPr="00E44BD7">
        <w:rPr>
          <w:i/>
          <w:iCs/>
          <w:szCs w:val="22"/>
        </w:rPr>
        <w:t xml:space="preserve">για το 2025, </w:t>
      </w:r>
      <w:r w:rsidR="00E57C3A" w:rsidRPr="00E44BD7">
        <w:rPr>
          <w:i/>
          <w:iCs/>
          <w:szCs w:val="22"/>
        </w:rPr>
        <w:t xml:space="preserve">για </w:t>
      </w:r>
      <w:r w:rsidR="001F5CA6" w:rsidRPr="00E44BD7">
        <w:rPr>
          <w:i/>
          <w:iCs/>
          <w:szCs w:val="22"/>
        </w:rPr>
        <w:t>EBITDA €</w:t>
      </w:r>
      <w:r w:rsidR="00E57C3A" w:rsidRPr="00E44BD7">
        <w:rPr>
          <w:i/>
          <w:iCs/>
          <w:szCs w:val="22"/>
        </w:rPr>
        <w:t>2</w:t>
      </w:r>
      <w:r w:rsidR="001F5CA6" w:rsidRPr="00E44BD7">
        <w:rPr>
          <w:i/>
          <w:iCs/>
          <w:szCs w:val="22"/>
        </w:rPr>
        <w:t xml:space="preserve"> δι</w:t>
      </w:r>
      <w:r w:rsidR="0097426A" w:rsidRPr="00E44BD7">
        <w:rPr>
          <w:i/>
          <w:iCs/>
          <w:szCs w:val="22"/>
        </w:rPr>
        <w:t>σ</w:t>
      </w:r>
      <w:r w:rsidR="00E57C3A" w:rsidRPr="00E44BD7">
        <w:rPr>
          <w:i/>
          <w:iCs/>
          <w:szCs w:val="22"/>
        </w:rPr>
        <w:t>.</w:t>
      </w:r>
      <w:r w:rsidR="0097426A" w:rsidRPr="00E44BD7">
        <w:rPr>
          <w:i/>
          <w:iCs/>
          <w:szCs w:val="22"/>
        </w:rPr>
        <w:t xml:space="preserve"> και </w:t>
      </w:r>
      <w:r w:rsidR="00E57C3A" w:rsidRPr="00E44BD7">
        <w:rPr>
          <w:i/>
          <w:iCs/>
          <w:szCs w:val="22"/>
        </w:rPr>
        <w:t>καθαρά κέρδη πάνω από €0,4 δισ</w:t>
      </w:r>
      <w:r w:rsidR="001F5CA6" w:rsidRPr="00E44BD7">
        <w:rPr>
          <w:i/>
          <w:iCs/>
          <w:szCs w:val="22"/>
        </w:rPr>
        <w:t>.»</w:t>
      </w:r>
    </w:p>
    <w:p w14:paraId="7AFFB8B2" w14:textId="77777777" w:rsidR="00237076" w:rsidRPr="00861F8E" w:rsidRDefault="00237076" w:rsidP="00DE03D1">
      <w:pPr>
        <w:pStyle w:val="DehPressRelease"/>
        <w:rPr>
          <w:b/>
          <w:bCs/>
          <w:szCs w:val="22"/>
          <w:u w:val="single"/>
        </w:rPr>
      </w:pPr>
    </w:p>
    <w:p w14:paraId="5361F245" w14:textId="77777777" w:rsidR="001F5CA6" w:rsidRDefault="001F5CA6">
      <w:pPr>
        <w:rPr>
          <w:rFonts w:ascii="Ping LCG Regular" w:hAnsi="Ping LCG Regular"/>
          <w:b/>
          <w:bCs/>
          <w:sz w:val="22"/>
          <w:szCs w:val="22"/>
          <w:u w:val="single"/>
          <w:lang w:val="el-GR"/>
        </w:rPr>
      </w:pPr>
      <w:r w:rsidRPr="00E57C3A">
        <w:rPr>
          <w:b/>
          <w:bCs/>
          <w:szCs w:val="22"/>
          <w:u w:val="single"/>
          <w:lang w:val="el-GR"/>
        </w:rPr>
        <w:br w:type="page"/>
      </w:r>
    </w:p>
    <w:p w14:paraId="563F56EB" w14:textId="54D390AC" w:rsidR="00DE03D1" w:rsidRPr="00390F52" w:rsidRDefault="00DE03D1" w:rsidP="002D2BD8">
      <w:pPr>
        <w:pStyle w:val="DehPressRelease"/>
        <w:rPr>
          <w:b/>
          <w:bCs/>
          <w:szCs w:val="22"/>
          <w:u w:val="single"/>
        </w:rPr>
      </w:pPr>
      <w:r w:rsidRPr="00390F52">
        <w:rPr>
          <w:b/>
          <w:bCs/>
          <w:szCs w:val="22"/>
          <w:u w:val="single"/>
        </w:rPr>
        <w:lastRenderedPageBreak/>
        <w:t>Περαιτέρω ανάλυση ανά επιχειρηματική δραστηριότ</w:t>
      </w:r>
      <w:r>
        <w:rPr>
          <w:b/>
          <w:bCs/>
          <w:szCs w:val="22"/>
          <w:u w:val="single"/>
        </w:rPr>
        <w:t>ητ</w:t>
      </w:r>
      <w:r w:rsidRPr="00390F52">
        <w:rPr>
          <w:b/>
          <w:bCs/>
          <w:szCs w:val="22"/>
          <w:u w:val="single"/>
        </w:rPr>
        <w:t xml:space="preserve">α </w:t>
      </w:r>
    </w:p>
    <w:p w14:paraId="56F64E4F" w14:textId="77777777" w:rsidR="00DE03D1" w:rsidRPr="00B460E7" w:rsidRDefault="00DE03D1" w:rsidP="002D2BD8">
      <w:pPr>
        <w:pStyle w:val="DehPressRelease"/>
        <w:rPr>
          <w:b/>
          <w:bCs/>
          <w:sz w:val="6"/>
          <w:szCs w:val="6"/>
          <w:highlight w:val="yellow"/>
        </w:rPr>
      </w:pPr>
    </w:p>
    <w:p w14:paraId="42271DD7" w14:textId="77777777" w:rsidR="00DE03D1" w:rsidRPr="00390F52" w:rsidRDefault="00DE03D1" w:rsidP="002D2BD8">
      <w:pPr>
        <w:pStyle w:val="DehPressRelease"/>
        <w:rPr>
          <w:b/>
          <w:bCs/>
          <w:szCs w:val="22"/>
        </w:rPr>
      </w:pPr>
      <w:r w:rsidRPr="00390F52">
        <w:rPr>
          <w:b/>
          <w:bCs/>
          <w:szCs w:val="22"/>
        </w:rPr>
        <w:t xml:space="preserve">Δραστηριότητα Εμπορίας </w:t>
      </w:r>
    </w:p>
    <w:p w14:paraId="71B0A595" w14:textId="123DA611" w:rsidR="00DE03D1" w:rsidRPr="003C66EC" w:rsidRDefault="00DE03D1" w:rsidP="002D2BD8">
      <w:pPr>
        <w:pStyle w:val="DehPressRelease"/>
        <w:jc w:val="both"/>
        <w:rPr>
          <w:szCs w:val="22"/>
        </w:rPr>
      </w:pPr>
      <w:r w:rsidRPr="00390F52">
        <w:rPr>
          <w:szCs w:val="22"/>
        </w:rPr>
        <w:t xml:space="preserve">Η ζήτηση </w:t>
      </w:r>
      <w:r w:rsidRPr="003C66EC">
        <w:rPr>
          <w:szCs w:val="22"/>
        </w:rPr>
        <w:t>ηλεκτρικής ενέργειας στην Ελλάδα σημείωσε μικρή αύξηση κατά 1,8%</w:t>
      </w:r>
      <w:r w:rsidRPr="003C66EC">
        <w:rPr>
          <w:rStyle w:val="FootnoteReference"/>
          <w:szCs w:val="22"/>
        </w:rPr>
        <w:footnoteReference w:id="4"/>
      </w:r>
      <w:r w:rsidRPr="003C66EC">
        <w:rPr>
          <w:szCs w:val="22"/>
        </w:rPr>
        <w:t xml:space="preserve"> </w:t>
      </w:r>
      <w:r w:rsidR="00597CCE">
        <w:rPr>
          <w:szCs w:val="22"/>
        </w:rPr>
        <w:t xml:space="preserve">το α΄ τρίμηνο του 2025 </w:t>
      </w:r>
      <w:r w:rsidRPr="003C66EC">
        <w:rPr>
          <w:szCs w:val="22"/>
        </w:rPr>
        <w:t>σε σχέση με την αντίστοιχη περίοδο του 2024, κυρίως λόγω των μειωμένων θερμοκρασιών που επικράτησαν σε σύγκριση με το α’ τρίμηνο του 2024, ενώ στη Ρουμανία παρέμεινε στα ίδια επίπεδα</w:t>
      </w:r>
      <w:r w:rsidRPr="003C66EC">
        <w:rPr>
          <w:rStyle w:val="FootnoteReference"/>
          <w:szCs w:val="22"/>
        </w:rPr>
        <w:footnoteReference w:id="5"/>
      </w:r>
      <w:r w:rsidRPr="003C66EC">
        <w:rPr>
          <w:szCs w:val="22"/>
        </w:rPr>
        <w:t>.</w:t>
      </w:r>
    </w:p>
    <w:p w14:paraId="7B7F9B5A" w14:textId="7803AE88" w:rsidR="00DE03D1" w:rsidRPr="00F84B27" w:rsidRDefault="00DE03D1" w:rsidP="002D2BD8">
      <w:pPr>
        <w:pStyle w:val="DehPressRelease"/>
        <w:jc w:val="both"/>
      </w:pPr>
      <w:r w:rsidRPr="003C66EC">
        <w:rPr>
          <w:szCs w:val="22"/>
        </w:rPr>
        <w:t>Το μέσο μερίδιο της ΔΕΗ στην αγορά προμήθειας στην Ελλάδα παρέμεινε σχεδόν σταθερό το α’ τρίμηνο 2025, στο 50% (έναντι 51% το α’ τρίμηνο 2024).</w:t>
      </w:r>
      <w:r w:rsidR="000C0625">
        <w:rPr>
          <w:szCs w:val="22"/>
        </w:rPr>
        <w:t xml:space="preserve"> </w:t>
      </w:r>
      <w:r w:rsidRPr="003C66EC">
        <w:rPr>
          <w:szCs w:val="22"/>
        </w:rPr>
        <w:t>Στο Διασυνδεδεμένο Σύστημα, το μέσο μερίδιο διατηρήθηκε επίσης σταθερό στο 50% τον Μάρτιο 2025</w:t>
      </w:r>
      <w:r w:rsidR="000C0625">
        <w:rPr>
          <w:noProof/>
        </w:rPr>
        <w:t xml:space="preserve"> </w:t>
      </w:r>
      <w:r w:rsidRPr="003C66EC">
        <w:rPr>
          <w:szCs w:val="22"/>
        </w:rPr>
        <w:t>(έναντι 51% το Μάρτιο 2024</w:t>
      </w:r>
      <w:r w:rsidRPr="003C66EC">
        <w:rPr>
          <w:noProof/>
        </w:rPr>
        <w:t>)</w:t>
      </w:r>
      <w:r w:rsidRPr="003C66EC">
        <w:rPr>
          <w:szCs w:val="22"/>
        </w:rPr>
        <w:t>. Αναλυτικά ανά τάση,</w:t>
      </w:r>
      <w:r w:rsidR="000C0625">
        <w:rPr>
          <w:szCs w:val="22"/>
        </w:rPr>
        <w:t xml:space="preserve"> </w:t>
      </w:r>
      <w:r w:rsidRPr="003C66EC">
        <w:rPr>
          <w:szCs w:val="22"/>
        </w:rPr>
        <w:t xml:space="preserve">το μέσο μερίδιο διαμορφώθηκε σε 23% στην Υψηλή Τάση (από 23%), </w:t>
      </w:r>
      <w:r>
        <w:rPr>
          <w:szCs w:val="22"/>
        </w:rPr>
        <w:t xml:space="preserve">σε </w:t>
      </w:r>
      <w:r w:rsidRPr="003C66EC">
        <w:rPr>
          <w:szCs w:val="22"/>
        </w:rPr>
        <w:t>37% στη Μέση Τάση (από 39%)</w:t>
      </w:r>
      <w:r w:rsidR="000C0625">
        <w:rPr>
          <w:szCs w:val="22"/>
        </w:rPr>
        <w:t xml:space="preserve"> </w:t>
      </w:r>
      <w:r w:rsidRPr="003C66EC">
        <w:rPr>
          <w:szCs w:val="22"/>
        </w:rPr>
        <w:t xml:space="preserve">και </w:t>
      </w:r>
      <w:r>
        <w:rPr>
          <w:szCs w:val="22"/>
        </w:rPr>
        <w:t xml:space="preserve">σε </w:t>
      </w:r>
      <w:r w:rsidRPr="003C66EC">
        <w:rPr>
          <w:szCs w:val="22"/>
        </w:rPr>
        <w:t>62% στη Χαμηλή Τάση</w:t>
      </w:r>
      <w:r w:rsidRPr="003C66EC">
        <w:rPr>
          <w:szCs w:val="22"/>
          <w:vertAlign w:val="superscript"/>
        </w:rPr>
        <w:footnoteReference w:id="6"/>
      </w:r>
      <w:r w:rsidRPr="003C66EC">
        <w:rPr>
          <w:szCs w:val="22"/>
        </w:rPr>
        <w:t xml:space="preserve"> (από </w:t>
      </w:r>
      <w:r w:rsidRPr="00F84B27">
        <w:rPr>
          <w:szCs w:val="22"/>
        </w:rPr>
        <w:t xml:space="preserve">63%). Στη Ρουμανία, το μέσο μερίδιο της ΔΕΗ στις πωλήσεις ηλεκτρικής ενέργειας το α’ τρίμηνο 2025 </w:t>
      </w:r>
      <w:r w:rsidR="00A966BD">
        <w:rPr>
          <w:szCs w:val="22"/>
        </w:rPr>
        <w:t>διατηρήθηκε σταθερό</w:t>
      </w:r>
      <w:r w:rsidR="0052376B">
        <w:rPr>
          <w:szCs w:val="22"/>
        </w:rPr>
        <w:t>,</w:t>
      </w:r>
      <w:r w:rsidR="00A966BD">
        <w:rPr>
          <w:szCs w:val="22"/>
        </w:rPr>
        <w:t xml:space="preserve"> </w:t>
      </w:r>
      <w:r w:rsidR="00FF0485">
        <w:rPr>
          <w:szCs w:val="22"/>
        </w:rPr>
        <w:t>σε σχέση με τη</w:t>
      </w:r>
      <w:r w:rsidR="0017486D">
        <w:rPr>
          <w:szCs w:val="22"/>
        </w:rPr>
        <w:t xml:space="preserve">ν </w:t>
      </w:r>
      <w:r w:rsidR="00FF0485">
        <w:rPr>
          <w:szCs w:val="22"/>
        </w:rPr>
        <w:t>αντίστοιχ</w:t>
      </w:r>
      <w:r w:rsidR="0017486D">
        <w:rPr>
          <w:szCs w:val="22"/>
        </w:rPr>
        <w:t>η περυσινή περίοδο</w:t>
      </w:r>
      <w:r w:rsidR="0052376B">
        <w:rPr>
          <w:szCs w:val="22"/>
        </w:rPr>
        <w:t>,</w:t>
      </w:r>
      <w:r w:rsidRPr="00F84B27">
        <w:rPr>
          <w:szCs w:val="22"/>
        </w:rPr>
        <w:t xml:space="preserve"> στο 1</w:t>
      </w:r>
      <w:r w:rsidRPr="00987EF4">
        <w:rPr>
          <w:szCs w:val="22"/>
        </w:rPr>
        <w:t>6</w:t>
      </w:r>
      <w:r w:rsidRPr="00F84B27">
        <w:rPr>
          <w:szCs w:val="22"/>
        </w:rPr>
        <w:t>%</w:t>
      </w:r>
      <w:r w:rsidRPr="00F84B27">
        <w:rPr>
          <w:vertAlign w:val="superscript"/>
        </w:rPr>
        <w:footnoteReference w:id="7"/>
      </w:r>
      <w:r w:rsidRPr="00F84B27">
        <w:rPr>
          <w:szCs w:val="22"/>
        </w:rPr>
        <w:t>.</w:t>
      </w:r>
      <w:r w:rsidRPr="00F84B27">
        <w:rPr>
          <w:noProof/>
        </w:rPr>
        <w:t xml:space="preserve"> </w:t>
      </w:r>
    </w:p>
    <w:p w14:paraId="6977CF1E" w14:textId="77777777" w:rsidR="00DE03D1" w:rsidRPr="00B460E7" w:rsidRDefault="00DE03D1" w:rsidP="002D2BD8">
      <w:pPr>
        <w:spacing w:after="160" w:line="259" w:lineRule="auto"/>
        <w:rPr>
          <w:rFonts w:ascii="Ping LCG Regular" w:hAnsi="Ping LCG Regular"/>
          <w:b/>
          <w:bCs/>
          <w:sz w:val="22"/>
          <w:szCs w:val="22"/>
          <w:highlight w:val="yellow"/>
          <w:lang w:val="el-GR"/>
        </w:rPr>
      </w:pPr>
    </w:p>
    <w:p w14:paraId="3451A2D1" w14:textId="77777777" w:rsidR="00DE03D1" w:rsidRPr="00390F52" w:rsidRDefault="00DE03D1" w:rsidP="002D2BD8">
      <w:pPr>
        <w:pStyle w:val="DehPressRelease"/>
        <w:jc w:val="both"/>
        <w:rPr>
          <w:b/>
          <w:bCs/>
          <w:szCs w:val="22"/>
        </w:rPr>
      </w:pPr>
      <w:r w:rsidRPr="00390F52">
        <w:rPr>
          <w:b/>
          <w:bCs/>
          <w:szCs w:val="22"/>
        </w:rPr>
        <w:t>Δραστηριότητα Παραγωγής</w:t>
      </w:r>
    </w:p>
    <w:p w14:paraId="3ADFFB80" w14:textId="4323964A" w:rsidR="00DE03D1" w:rsidRPr="00247D46" w:rsidRDefault="00DE03D1" w:rsidP="002D2BD8">
      <w:pPr>
        <w:pStyle w:val="DehPressRelease"/>
        <w:jc w:val="both"/>
        <w:rPr>
          <w:szCs w:val="22"/>
        </w:rPr>
      </w:pPr>
      <w:r w:rsidRPr="00390F52">
        <w:rPr>
          <w:szCs w:val="22"/>
        </w:rPr>
        <w:t xml:space="preserve">Στην παραγωγή ηλεκτρικής ενέργειας, το μέσο μερίδιο της ΔΕΗ στην Ελλάδα </w:t>
      </w:r>
      <w:r>
        <w:rPr>
          <w:szCs w:val="22"/>
        </w:rPr>
        <w:t xml:space="preserve">κατέγραψε </w:t>
      </w:r>
      <w:r w:rsidR="006150A0">
        <w:rPr>
          <w:szCs w:val="22"/>
        </w:rPr>
        <w:t xml:space="preserve">οριακή </w:t>
      </w:r>
      <w:r>
        <w:rPr>
          <w:szCs w:val="22"/>
        </w:rPr>
        <w:t>αύξηση</w:t>
      </w:r>
      <w:r w:rsidRPr="00390F52">
        <w:rPr>
          <w:szCs w:val="22"/>
        </w:rPr>
        <w:t xml:space="preserve"> σε 3</w:t>
      </w:r>
      <w:r>
        <w:rPr>
          <w:szCs w:val="22"/>
        </w:rPr>
        <w:t>4</w:t>
      </w:r>
      <w:r w:rsidRPr="00390F52">
        <w:rPr>
          <w:szCs w:val="22"/>
        </w:rPr>
        <w:t>% το</w:t>
      </w:r>
      <w:r w:rsidRPr="00FF05BC">
        <w:rPr>
          <w:szCs w:val="22"/>
        </w:rPr>
        <w:t xml:space="preserve"> α’ τρίμηνο 2025</w:t>
      </w:r>
      <w:r w:rsidR="000C0625">
        <w:rPr>
          <w:szCs w:val="22"/>
        </w:rPr>
        <w:t xml:space="preserve"> </w:t>
      </w:r>
      <w:r w:rsidRPr="00390F52">
        <w:rPr>
          <w:szCs w:val="22"/>
        </w:rPr>
        <w:t xml:space="preserve">από 33% το </w:t>
      </w:r>
      <w:r w:rsidRPr="00FF05BC">
        <w:rPr>
          <w:szCs w:val="22"/>
        </w:rPr>
        <w:t>α’ τρίμηνο 2024</w:t>
      </w:r>
      <w:r>
        <w:rPr>
          <w:szCs w:val="22"/>
        </w:rPr>
        <w:t>, λόγω αυξημένης</w:t>
      </w:r>
      <w:r w:rsidRPr="00390F52">
        <w:rPr>
          <w:szCs w:val="22"/>
        </w:rPr>
        <w:t xml:space="preserve"> παραγωγής </w:t>
      </w:r>
      <w:r w:rsidRPr="00FD55BF">
        <w:rPr>
          <w:szCs w:val="22"/>
        </w:rPr>
        <w:t>από μονάδες φυσικού αερίου</w:t>
      </w:r>
      <w:r>
        <w:rPr>
          <w:szCs w:val="22"/>
        </w:rPr>
        <w:t xml:space="preserve">, η οποία αντισταθμίστηκε σε μεγάλο βαθμό από </w:t>
      </w:r>
      <w:r w:rsidRPr="00347A5B">
        <w:rPr>
          <w:szCs w:val="22"/>
        </w:rPr>
        <w:t>την μειωμένη υδροηλεκτρική παραγωγή</w:t>
      </w:r>
      <w:r w:rsidRPr="00BF646D">
        <w:rPr>
          <w:szCs w:val="22"/>
        </w:rPr>
        <w:t xml:space="preserve">. </w:t>
      </w:r>
      <w:r w:rsidRPr="00E44BD7">
        <w:rPr>
          <w:szCs w:val="22"/>
        </w:rPr>
        <w:t xml:space="preserve">Στη Ρουμανία, το μέσο μερίδιο της ΔΕΗ στην παραγωγή από ΑΠΕ (αιολικά/ηλιακά) αυξήθηκε σε 26% από 14% το α’ τρίμηνο 2024 κυρίως λόγω της αύξησης της παραγωγής από αιολική ενέργεια μετά την </w:t>
      </w:r>
      <w:r w:rsidR="00EF7092" w:rsidRPr="00E44BD7">
        <w:rPr>
          <w:szCs w:val="22"/>
        </w:rPr>
        <w:t xml:space="preserve">προσθήκη </w:t>
      </w:r>
      <w:r w:rsidR="002101FB" w:rsidRPr="00E44BD7">
        <w:rPr>
          <w:szCs w:val="22"/>
        </w:rPr>
        <w:t xml:space="preserve">εντός </w:t>
      </w:r>
      <w:r w:rsidR="00F744FE" w:rsidRPr="00E44BD7">
        <w:rPr>
          <w:szCs w:val="22"/>
        </w:rPr>
        <w:t xml:space="preserve">του 2024 </w:t>
      </w:r>
      <w:r w:rsidR="004D3D2F" w:rsidRPr="00E44BD7">
        <w:rPr>
          <w:szCs w:val="22"/>
        </w:rPr>
        <w:t xml:space="preserve">ΑΠΕ </w:t>
      </w:r>
      <w:r w:rsidR="00827D2C" w:rsidRPr="00E44BD7">
        <w:rPr>
          <w:szCs w:val="22"/>
        </w:rPr>
        <w:t>συνολικής ισχύος</w:t>
      </w:r>
      <w:r w:rsidR="006D454B" w:rsidRPr="00E44BD7">
        <w:rPr>
          <w:szCs w:val="22"/>
        </w:rPr>
        <w:t xml:space="preserve"> </w:t>
      </w:r>
      <w:r w:rsidR="00967191" w:rsidRPr="00E44BD7">
        <w:rPr>
          <w:szCs w:val="22"/>
        </w:rPr>
        <w:t>0,7</w:t>
      </w:r>
      <w:r w:rsidR="00967191" w:rsidRPr="00E44BD7">
        <w:rPr>
          <w:szCs w:val="22"/>
          <w:lang w:val="en-US"/>
        </w:rPr>
        <w:t>GW</w:t>
      </w:r>
      <w:r w:rsidRPr="00E44BD7">
        <w:rPr>
          <w:szCs w:val="22"/>
        </w:rPr>
        <w:t>.</w:t>
      </w:r>
      <w:r w:rsidRPr="004B0ECF">
        <w:rPr>
          <w:szCs w:val="22"/>
        </w:rPr>
        <w:t xml:space="preserve"> </w:t>
      </w:r>
    </w:p>
    <w:p w14:paraId="3DC03398" w14:textId="0471D83C" w:rsidR="00DE03D1" w:rsidRPr="00E266BD" w:rsidRDefault="00DE03D1" w:rsidP="002D2BD8">
      <w:pPr>
        <w:pStyle w:val="DehPressRelease"/>
        <w:jc w:val="both"/>
        <w:rPr>
          <w:szCs w:val="22"/>
        </w:rPr>
      </w:pPr>
      <w:r w:rsidRPr="004B0ECF">
        <w:rPr>
          <w:szCs w:val="22"/>
        </w:rPr>
        <w:t>Η αυξημένη παραγωγή των θερμικών μονάδων σε συνδυασμό με τη μειωμένη παραγωγή των υδροηλεκτρικών σταθμών είχε σαν αποτέλεσμα τη μικρή αύξηση</w:t>
      </w:r>
      <w:r w:rsidRPr="00E266BD">
        <w:rPr>
          <w:szCs w:val="22"/>
        </w:rPr>
        <w:t xml:space="preserve"> της έντασης εκπομπών </w:t>
      </w:r>
      <w:r w:rsidR="00D1366B">
        <w:rPr>
          <w:szCs w:val="22"/>
          <w:lang w:val="en-US"/>
        </w:rPr>
        <w:t>Scope</w:t>
      </w:r>
      <w:r w:rsidR="00D1366B" w:rsidRPr="0090122F">
        <w:rPr>
          <w:szCs w:val="22"/>
        </w:rPr>
        <w:t xml:space="preserve"> 1 </w:t>
      </w:r>
      <w:r w:rsidRPr="00E266BD">
        <w:rPr>
          <w:szCs w:val="22"/>
        </w:rPr>
        <w:t>CO</w:t>
      </w:r>
      <w:r w:rsidRPr="00BC06AA">
        <w:rPr>
          <w:szCs w:val="22"/>
          <w:vertAlign w:val="subscript"/>
        </w:rPr>
        <w:t>2</w:t>
      </w:r>
      <w:r w:rsidRPr="00E266BD">
        <w:rPr>
          <w:szCs w:val="22"/>
        </w:rPr>
        <w:t xml:space="preserve"> σε 0,55 τόνους ανά παραγόμενη </w:t>
      </w:r>
      <w:proofErr w:type="spellStart"/>
      <w:r w:rsidRPr="00E266BD">
        <w:rPr>
          <w:szCs w:val="22"/>
        </w:rPr>
        <w:t>MWh</w:t>
      </w:r>
      <w:proofErr w:type="spellEnd"/>
      <w:r w:rsidRPr="00E266BD">
        <w:rPr>
          <w:szCs w:val="22"/>
        </w:rPr>
        <w:t xml:space="preserve"> από 0,50 τόνους ανά παραγόμενη </w:t>
      </w:r>
      <w:proofErr w:type="spellStart"/>
      <w:r w:rsidRPr="00E266BD">
        <w:rPr>
          <w:szCs w:val="22"/>
        </w:rPr>
        <w:t>MWh</w:t>
      </w:r>
      <w:proofErr w:type="spellEnd"/>
      <w:r w:rsidRPr="00E266BD">
        <w:rPr>
          <w:szCs w:val="22"/>
        </w:rPr>
        <w:t xml:space="preserve"> το α’ τρίμηνο του 2024.</w:t>
      </w:r>
    </w:p>
    <w:p w14:paraId="11881CBF" w14:textId="77777777" w:rsidR="00DE03D1" w:rsidRPr="00203267" w:rsidRDefault="00DE03D1" w:rsidP="002D2BD8">
      <w:pPr>
        <w:pStyle w:val="DehPressRelease"/>
        <w:jc w:val="both"/>
        <w:rPr>
          <w:szCs w:val="22"/>
          <w:highlight w:val="yellow"/>
        </w:rPr>
      </w:pPr>
    </w:p>
    <w:p w14:paraId="2DC38CA7" w14:textId="77777777" w:rsidR="00DE03D1" w:rsidRPr="00124D2B" w:rsidRDefault="00DE03D1" w:rsidP="002D2BD8">
      <w:pPr>
        <w:pStyle w:val="DehPressRelease"/>
        <w:jc w:val="both"/>
        <w:rPr>
          <w:b/>
          <w:bCs/>
          <w:szCs w:val="22"/>
        </w:rPr>
      </w:pPr>
      <w:r w:rsidRPr="00124D2B">
        <w:rPr>
          <w:b/>
          <w:bCs/>
          <w:szCs w:val="22"/>
        </w:rPr>
        <w:t>Δραστηριότητα Διανομής</w:t>
      </w:r>
    </w:p>
    <w:p w14:paraId="41F79E29" w14:textId="10C1738F" w:rsidR="00DE03D1" w:rsidRPr="00B460E7" w:rsidRDefault="00DE03D1" w:rsidP="002D2BD8">
      <w:pPr>
        <w:pStyle w:val="DehPressRelease"/>
        <w:jc w:val="both"/>
        <w:rPr>
          <w:szCs w:val="22"/>
          <w:highlight w:val="yellow"/>
        </w:rPr>
      </w:pPr>
      <w:r>
        <w:rPr>
          <w:szCs w:val="22"/>
        </w:rPr>
        <w:t xml:space="preserve">Η ΔΕΗ συνέχισε για ένα ακόμη τρίμηνο την αύξηση των επενδύσεων </w:t>
      </w:r>
      <w:r w:rsidRPr="00A81257">
        <w:rPr>
          <w:szCs w:val="22"/>
        </w:rPr>
        <w:t xml:space="preserve">για τον εκσυγχρονισμό και την </w:t>
      </w:r>
      <w:proofErr w:type="spellStart"/>
      <w:r w:rsidRPr="00A81257">
        <w:rPr>
          <w:szCs w:val="22"/>
        </w:rPr>
        <w:t>ψηφιοποίηση</w:t>
      </w:r>
      <w:proofErr w:type="spellEnd"/>
      <w:r w:rsidRPr="00A81257">
        <w:rPr>
          <w:szCs w:val="22"/>
        </w:rPr>
        <w:t xml:space="preserve"> των Δικτύων Διανομής σε Ελλάδα και Ρουμανία</w:t>
      </w:r>
      <w:r>
        <w:rPr>
          <w:szCs w:val="22"/>
        </w:rPr>
        <w:t xml:space="preserve"> με τις επενδύσεις να ανέρχονται </w:t>
      </w:r>
      <w:r w:rsidRPr="00E76351">
        <w:rPr>
          <w:szCs w:val="22"/>
        </w:rPr>
        <w:t>σε €</w:t>
      </w:r>
      <w:r w:rsidR="00C44857">
        <w:rPr>
          <w:szCs w:val="22"/>
        </w:rPr>
        <w:t>0,</w:t>
      </w:r>
      <w:r w:rsidRPr="00E76351">
        <w:rPr>
          <w:szCs w:val="22"/>
        </w:rPr>
        <w:t>28</w:t>
      </w:r>
      <w:r w:rsidR="00C44857">
        <w:rPr>
          <w:szCs w:val="22"/>
        </w:rPr>
        <w:t xml:space="preserve"> δισ</w:t>
      </w:r>
      <w:r w:rsidRPr="00E76351">
        <w:rPr>
          <w:szCs w:val="22"/>
        </w:rPr>
        <w:t>. το α’ τρίμηνο του 2025,</w:t>
      </w:r>
      <w:r>
        <w:rPr>
          <w:szCs w:val="22"/>
        </w:rPr>
        <w:t xml:space="preserve"> αυξημένες κατά 24% σε σχέση με την αντίστοιχη περίοδο του 2024.</w:t>
      </w:r>
    </w:p>
    <w:p w14:paraId="537B6D46" w14:textId="0DBA6509" w:rsidR="00DE03D1" w:rsidRPr="005F02B2" w:rsidRDefault="005B1F5C" w:rsidP="002D2BD8">
      <w:pPr>
        <w:pStyle w:val="DehPressRelease"/>
        <w:jc w:val="both"/>
        <w:rPr>
          <w:szCs w:val="22"/>
        </w:rPr>
      </w:pPr>
      <w:r>
        <w:rPr>
          <w:szCs w:val="22"/>
        </w:rPr>
        <w:t>Ο</w:t>
      </w:r>
      <w:r w:rsidR="00DE03D1">
        <w:rPr>
          <w:szCs w:val="22"/>
        </w:rPr>
        <w:t xml:space="preserve">ι αυξημένες επενδύσεις έχουν θετική </w:t>
      </w:r>
      <w:r w:rsidR="00C07130">
        <w:rPr>
          <w:szCs w:val="22"/>
        </w:rPr>
        <w:t xml:space="preserve">επίδραση </w:t>
      </w:r>
      <w:r w:rsidR="00DE03D1">
        <w:rPr>
          <w:szCs w:val="22"/>
        </w:rPr>
        <w:t>στις επιδόσεις τ</w:t>
      </w:r>
      <w:r w:rsidR="00DE03D1" w:rsidRPr="004B21D6">
        <w:rPr>
          <w:szCs w:val="22"/>
        </w:rPr>
        <w:t xml:space="preserve">ων δεικτών αξιοπιστίας </w:t>
      </w:r>
      <w:r w:rsidR="00DE03D1">
        <w:rPr>
          <w:szCs w:val="22"/>
        </w:rPr>
        <w:t xml:space="preserve">των δικτύων διανομής </w:t>
      </w:r>
      <w:r w:rsidR="00DE03D1" w:rsidRPr="004B21D6">
        <w:rPr>
          <w:szCs w:val="22"/>
        </w:rPr>
        <w:t xml:space="preserve">και στις δύο χώρες που δραστηριοποιείται η ΔΕΗ με τον δείκτη </w:t>
      </w:r>
      <w:r w:rsidR="00DE03D1" w:rsidRPr="004B21D6">
        <w:rPr>
          <w:szCs w:val="22"/>
          <w:lang w:val="en-US"/>
        </w:rPr>
        <w:t>SAIDI</w:t>
      </w:r>
      <w:r w:rsidR="00DE03D1" w:rsidRPr="004B21D6">
        <w:rPr>
          <w:szCs w:val="22"/>
        </w:rPr>
        <w:t xml:space="preserve"> να μειώνεται στα 21 λεπτά (από 26 λεπτά</w:t>
      </w:r>
      <w:r w:rsidR="00DE03D1">
        <w:rPr>
          <w:szCs w:val="22"/>
        </w:rPr>
        <w:t xml:space="preserve"> το α’ τρίμηνο 2024</w:t>
      </w:r>
      <w:r w:rsidR="00DE03D1" w:rsidRPr="004B21D6">
        <w:rPr>
          <w:szCs w:val="22"/>
        </w:rPr>
        <w:t xml:space="preserve">) στην </w:t>
      </w:r>
      <w:r w:rsidR="00DE03D1" w:rsidRPr="004B21D6">
        <w:rPr>
          <w:szCs w:val="22"/>
        </w:rPr>
        <w:lastRenderedPageBreak/>
        <w:t xml:space="preserve">Ελλάδα και </w:t>
      </w:r>
      <w:r w:rsidR="00DE03D1">
        <w:rPr>
          <w:szCs w:val="22"/>
        </w:rPr>
        <w:t xml:space="preserve">να </w:t>
      </w:r>
      <w:r w:rsidR="0011549E">
        <w:rPr>
          <w:szCs w:val="22"/>
        </w:rPr>
        <w:t>παραμένει σταθερός</w:t>
      </w:r>
      <w:r w:rsidR="00DE03D1">
        <w:rPr>
          <w:szCs w:val="22"/>
        </w:rPr>
        <w:t xml:space="preserve"> στ</w:t>
      </w:r>
      <w:r w:rsidR="00DE03D1" w:rsidRPr="004B21D6">
        <w:rPr>
          <w:szCs w:val="22"/>
        </w:rPr>
        <w:t xml:space="preserve">ην Ρουμανία στα 19 λεπτά. Ο δείκτης </w:t>
      </w:r>
      <w:r w:rsidR="00DE03D1" w:rsidRPr="004B21D6">
        <w:rPr>
          <w:szCs w:val="22"/>
          <w:lang w:val="en-US"/>
        </w:rPr>
        <w:t>SAIFI</w:t>
      </w:r>
      <w:r w:rsidR="00DE03D1" w:rsidRPr="004B21D6">
        <w:rPr>
          <w:szCs w:val="22"/>
        </w:rPr>
        <w:t xml:space="preserve"> παρέμεινε ουσιαστικά σταθερός </w:t>
      </w:r>
      <w:r w:rsidR="00DE03D1">
        <w:rPr>
          <w:szCs w:val="22"/>
        </w:rPr>
        <w:t xml:space="preserve">τόσο </w:t>
      </w:r>
      <w:r w:rsidR="00DE03D1" w:rsidRPr="004B21D6">
        <w:rPr>
          <w:szCs w:val="22"/>
        </w:rPr>
        <w:t xml:space="preserve">στην Ελλάδα </w:t>
      </w:r>
      <w:r w:rsidR="00442C66">
        <w:rPr>
          <w:szCs w:val="22"/>
        </w:rPr>
        <w:t>(</w:t>
      </w:r>
      <w:r w:rsidR="00DE03D1" w:rsidRPr="005F02B2">
        <w:rPr>
          <w:szCs w:val="22"/>
        </w:rPr>
        <w:t>0,3 φορές</w:t>
      </w:r>
      <w:r w:rsidR="00442C66">
        <w:rPr>
          <w:szCs w:val="22"/>
        </w:rPr>
        <w:t>)</w:t>
      </w:r>
      <w:r w:rsidR="00DE03D1" w:rsidRPr="005F02B2">
        <w:rPr>
          <w:szCs w:val="22"/>
        </w:rPr>
        <w:t xml:space="preserve"> </w:t>
      </w:r>
      <w:r w:rsidR="00DE03D1">
        <w:rPr>
          <w:szCs w:val="22"/>
        </w:rPr>
        <w:t xml:space="preserve">όσο και </w:t>
      </w:r>
      <w:r w:rsidR="00DE03D1" w:rsidRPr="005F02B2">
        <w:rPr>
          <w:szCs w:val="22"/>
        </w:rPr>
        <w:t xml:space="preserve">στη Ρουμανία </w:t>
      </w:r>
      <w:r w:rsidR="00442C66">
        <w:rPr>
          <w:szCs w:val="22"/>
        </w:rPr>
        <w:t>(</w:t>
      </w:r>
      <w:r w:rsidR="00DE03D1" w:rsidRPr="005F02B2">
        <w:rPr>
          <w:szCs w:val="22"/>
        </w:rPr>
        <w:t>0,5 φορές</w:t>
      </w:r>
      <w:r w:rsidR="00442C66">
        <w:rPr>
          <w:szCs w:val="22"/>
        </w:rPr>
        <w:t>)</w:t>
      </w:r>
      <w:r w:rsidR="00DE03D1" w:rsidRPr="005F02B2">
        <w:rPr>
          <w:szCs w:val="22"/>
        </w:rPr>
        <w:t>.</w:t>
      </w:r>
    </w:p>
    <w:p w14:paraId="411C033A" w14:textId="77777777" w:rsidR="00DE03D1" w:rsidRDefault="00DE03D1" w:rsidP="002D2BD8">
      <w:pPr>
        <w:pStyle w:val="DehPressRelease"/>
        <w:jc w:val="both"/>
        <w:rPr>
          <w:szCs w:val="22"/>
        </w:rPr>
      </w:pPr>
      <w:r w:rsidRPr="0090122F">
        <w:rPr>
          <w:szCs w:val="22"/>
        </w:rPr>
        <w:t>Η διείσδυση των έξυπνων μετρητών βελτιώθηκε στην Ελλάδα σε 14% (από 11%) καθώς συνεχίζεται η ευρύτερη εγκατάσταση τους στη χώρα, ενώ στη Ρουμανία βρίσκεται σε αρκετά υψηλότερα επίπεδα και συγκεκριμένα στο 57% (από 49%)</w:t>
      </w:r>
      <w:r w:rsidRPr="00D74BD1">
        <w:rPr>
          <w:rStyle w:val="FootnoteReference"/>
          <w:szCs w:val="22"/>
        </w:rPr>
        <w:footnoteReference w:id="8"/>
      </w:r>
      <w:r w:rsidRPr="00D74BD1">
        <w:rPr>
          <w:szCs w:val="22"/>
        </w:rPr>
        <w:t>.</w:t>
      </w:r>
      <w:r>
        <w:rPr>
          <w:szCs w:val="22"/>
        </w:rPr>
        <w:t xml:space="preserve"> </w:t>
      </w:r>
    </w:p>
    <w:p w14:paraId="2D38CA64" w14:textId="77777777" w:rsidR="00DE03D1" w:rsidRPr="0068261C" w:rsidRDefault="00DE03D1" w:rsidP="002D2BD8">
      <w:pPr>
        <w:pStyle w:val="DehPressRelease"/>
        <w:jc w:val="both"/>
        <w:rPr>
          <w:szCs w:val="22"/>
        </w:rPr>
      </w:pPr>
    </w:p>
    <w:p w14:paraId="76B9183F" w14:textId="77777777" w:rsidR="00DE03D1" w:rsidRPr="005B51C4" w:rsidRDefault="00DE03D1" w:rsidP="002D2BD8">
      <w:pPr>
        <w:pStyle w:val="DehPressRelease"/>
        <w:jc w:val="both"/>
        <w:rPr>
          <w:b/>
          <w:bCs/>
          <w:szCs w:val="22"/>
        </w:rPr>
      </w:pPr>
      <w:r w:rsidRPr="005B51C4">
        <w:rPr>
          <w:b/>
          <w:bCs/>
          <w:szCs w:val="22"/>
        </w:rPr>
        <w:t xml:space="preserve">Τηλεπικοινωνίες </w:t>
      </w:r>
    </w:p>
    <w:p w14:paraId="35E41263" w14:textId="30E07B67" w:rsidR="00DE03D1" w:rsidRPr="005B51C4" w:rsidRDefault="00DE03D1" w:rsidP="002D2BD8">
      <w:pPr>
        <w:pStyle w:val="DehPressRelease"/>
        <w:jc w:val="both"/>
        <w:rPr>
          <w:szCs w:val="22"/>
        </w:rPr>
      </w:pPr>
      <w:r w:rsidRPr="005B51C4">
        <w:rPr>
          <w:szCs w:val="22"/>
        </w:rPr>
        <w:t xml:space="preserve">Συνεχίζεται η πρόοδος στην υλοποίηση της ανάπτυξης του δικτύου </w:t>
      </w:r>
      <w:proofErr w:type="spellStart"/>
      <w:r w:rsidRPr="005B51C4">
        <w:rPr>
          <w:szCs w:val="22"/>
        </w:rPr>
        <w:t>Fiber</w:t>
      </w:r>
      <w:proofErr w:type="spellEnd"/>
      <w:r w:rsidRPr="005B51C4">
        <w:rPr>
          <w:szCs w:val="22"/>
        </w:rPr>
        <w:t>-</w:t>
      </w:r>
      <w:proofErr w:type="spellStart"/>
      <w:r w:rsidRPr="005B51C4">
        <w:rPr>
          <w:szCs w:val="22"/>
        </w:rPr>
        <w:t>to</w:t>
      </w:r>
      <w:proofErr w:type="spellEnd"/>
      <w:r w:rsidRPr="005B51C4">
        <w:rPr>
          <w:szCs w:val="22"/>
        </w:rPr>
        <w:t>-the-</w:t>
      </w:r>
      <w:proofErr w:type="spellStart"/>
      <w:r w:rsidRPr="005B51C4">
        <w:rPr>
          <w:szCs w:val="22"/>
        </w:rPr>
        <w:t>home</w:t>
      </w:r>
      <w:proofErr w:type="spellEnd"/>
      <w:r w:rsidRPr="005B51C4">
        <w:rPr>
          <w:szCs w:val="22"/>
        </w:rPr>
        <w:t xml:space="preserve">, σύμφωνα με το στρατηγικό σχέδιο της ΔΕΗ, έχοντας φτάσει ήδη </w:t>
      </w:r>
      <w:r w:rsidR="00B075FA" w:rsidRPr="005B51C4">
        <w:rPr>
          <w:szCs w:val="22"/>
        </w:rPr>
        <w:t xml:space="preserve">σε </w:t>
      </w:r>
      <w:r w:rsidRPr="005B51C4">
        <w:rPr>
          <w:szCs w:val="22"/>
        </w:rPr>
        <w:t xml:space="preserve">948.000 </w:t>
      </w:r>
      <w:r w:rsidR="00BE0DDD" w:rsidRPr="005B51C4">
        <w:rPr>
          <w:szCs w:val="22"/>
        </w:rPr>
        <w:t>νοικοκυριά</w:t>
      </w:r>
      <w:r w:rsidRPr="005B51C4">
        <w:rPr>
          <w:szCs w:val="22"/>
        </w:rPr>
        <w:t xml:space="preserve">/επιχειρήσεις ως το τέλος Μαρτίου 2025, αριθμός </w:t>
      </w:r>
      <w:r w:rsidR="00B13AF1" w:rsidRPr="005B51C4">
        <w:rPr>
          <w:szCs w:val="22"/>
        </w:rPr>
        <w:t xml:space="preserve">πενταπλάσιος </w:t>
      </w:r>
      <w:r w:rsidRPr="005B51C4">
        <w:rPr>
          <w:szCs w:val="22"/>
        </w:rPr>
        <w:t xml:space="preserve">σε σχέση με την αντίστοιχη περίοδο του 2024 και σημειώνοντας αύξηση 46% σε σχέση με </w:t>
      </w:r>
      <w:r w:rsidR="00F32E0F" w:rsidRPr="005B51C4">
        <w:rPr>
          <w:szCs w:val="22"/>
        </w:rPr>
        <w:t xml:space="preserve">το </w:t>
      </w:r>
      <w:r w:rsidRPr="005B51C4">
        <w:rPr>
          <w:szCs w:val="22"/>
        </w:rPr>
        <w:t>τέλος του 2024. Στόχος, το δίκτυο FTTH να φτάσει σε 1,5 εκατ. νοικοκυριά και επιχειρήσεις μέχρι το τέλος του 2025.</w:t>
      </w:r>
    </w:p>
    <w:p w14:paraId="09A23037" w14:textId="77777777" w:rsidR="00DE03D1" w:rsidRPr="005B51C4" w:rsidRDefault="00DE03D1" w:rsidP="002D2BD8">
      <w:pPr>
        <w:pStyle w:val="DehPressRelease"/>
        <w:jc w:val="both"/>
        <w:rPr>
          <w:b/>
          <w:bCs/>
          <w:szCs w:val="22"/>
        </w:rPr>
      </w:pPr>
    </w:p>
    <w:p w14:paraId="2E207610" w14:textId="77777777" w:rsidR="00DE03D1" w:rsidRPr="005B51C4" w:rsidRDefault="00DE03D1" w:rsidP="002D2BD8">
      <w:pPr>
        <w:pStyle w:val="DehPressRelease"/>
        <w:jc w:val="both"/>
        <w:rPr>
          <w:b/>
          <w:szCs w:val="22"/>
        </w:rPr>
      </w:pPr>
      <w:r w:rsidRPr="005B51C4">
        <w:rPr>
          <w:b/>
          <w:szCs w:val="22"/>
        </w:rPr>
        <w:t>Ηλεκτροκίνηση</w:t>
      </w:r>
    </w:p>
    <w:p w14:paraId="2E5E139D" w14:textId="2E7945AF" w:rsidR="00DE03D1" w:rsidRPr="00043E1D" w:rsidRDefault="00DE03D1" w:rsidP="002D2BD8">
      <w:pPr>
        <w:pStyle w:val="DehPressRelease"/>
        <w:jc w:val="both"/>
        <w:rPr>
          <w:szCs w:val="22"/>
        </w:rPr>
      </w:pPr>
      <w:r w:rsidRPr="005B51C4">
        <w:rPr>
          <w:szCs w:val="22"/>
        </w:rPr>
        <w:t xml:space="preserve">Στον τομέα της ηλεκτροκίνησης, η ΔΕΗ συνεχίζει να κατέχει ηγετική θέση στην Ελληνική αγορά διαθέτοντας το μεγαλύτερο αριθμό δημόσιων σημείων φόρτισης στην </w:t>
      </w:r>
      <w:r w:rsidR="0039297C" w:rsidRPr="005B51C4">
        <w:rPr>
          <w:szCs w:val="22"/>
        </w:rPr>
        <w:t>χώρα</w:t>
      </w:r>
      <w:r w:rsidRPr="005B51C4">
        <w:rPr>
          <w:szCs w:val="22"/>
        </w:rPr>
        <w:t xml:space="preserve">. Παράλληλα, ενισχύει την παρουσία της στον τομέα της ηλεκτροκίνησης και στη Ρουμανία, με τον συνολικό αριθμό σημείων φόρτισης και στις δύο χώρες να ανέρχεται σε 3.267 στο τέλος του α’ τριμήνου του 2025, καταγράφοντας αύξηση κατά </w:t>
      </w:r>
      <w:r w:rsidR="0065522F" w:rsidRPr="005B51C4">
        <w:rPr>
          <w:szCs w:val="22"/>
        </w:rPr>
        <w:t>31</w:t>
      </w:r>
      <w:r w:rsidRPr="005B51C4">
        <w:rPr>
          <w:szCs w:val="22"/>
        </w:rPr>
        <w:t>%</w:t>
      </w:r>
      <w:r w:rsidR="0039297C" w:rsidRPr="005B51C4">
        <w:rPr>
          <w:szCs w:val="22"/>
        </w:rPr>
        <w:t xml:space="preserve"> σε σχέση με την αντίστοιχη </w:t>
      </w:r>
      <w:r w:rsidR="00344086" w:rsidRPr="005B51C4">
        <w:rPr>
          <w:szCs w:val="22"/>
        </w:rPr>
        <w:t>περυσινή</w:t>
      </w:r>
      <w:r w:rsidR="00EA32CE" w:rsidRPr="005B51C4">
        <w:rPr>
          <w:szCs w:val="22"/>
        </w:rPr>
        <w:t xml:space="preserve"> περίοδο</w:t>
      </w:r>
      <w:r w:rsidRPr="005B51C4">
        <w:rPr>
          <w:szCs w:val="22"/>
        </w:rPr>
        <w:t>.</w:t>
      </w:r>
    </w:p>
    <w:p w14:paraId="6A2332AB" w14:textId="77777777" w:rsidR="00DE03D1" w:rsidRPr="009B6763" w:rsidRDefault="00DE03D1" w:rsidP="00DE03D1">
      <w:pPr>
        <w:rPr>
          <w:rFonts w:ascii="Ping LCG Regular" w:hAnsi="Ping LCG Regular"/>
          <w:b/>
          <w:bCs/>
          <w:sz w:val="20"/>
          <w:szCs w:val="20"/>
          <w:highlight w:val="yellow"/>
          <w:u w:val="single"/>
          <w:lang w:val="el-GR"/>
        </w:rPr>
      </w:pPr>
    </w:p>
    <w:p w14:paraId="635BB2A5" w14:textId="77777777" w:rsidR="00DE03D1" w:rsidRPr="009B6763" w:rsidRDefault="00DE03D1" w:rsidP="00DE03D1">
      <w:pPr>
        <w:pStyle w:val="DehPressRelease"/>
        <w:spacing w:line="240" w:lineRule="auto"/>
        <w:jc w:val="both"/>
        <w:rPr>
          <w:b/>
          <w:szCs w:val="22"/>
          <w:highlight w:val="yellow"/>
        </w:rPr>
      </w:pPr>
    </w:p>
    <w:p w14:paraId="76AA375D" w14:textId="77777777" w:rsidR="00237076" w:rsidRDefault="00237076">
      <w:pPr>
        <w:rPr>
          <w:rFonts w:ascii="Ping LCG Regular" w:hAnsi="Ping LCG Regular"/>
          <w:b/>
          <w:bCs/>
          <w:sz w:val="20"/>
          <w:szCs w:val="20"/>
          <w:u w:val="single"/>
          <w:lang w:val="el-GR"/>
        </w:rPr>
      </w:pPr>
      <w:r>
        <w:rPr>
          <w:rFonts w:ascii="Ping LCG Regular" w:hAnsi="Ping LCG Regular"/>
          <w:b/>
          <w:bCs/>
          <w:sz w:val="20"/>
          <w:szCs w:val="20"/>
          <w:u w:val="single"/>
          <w:lang w:val="el-GR"/>
        </w:rPr>
        <w:br w:type="page"/>
      </w:r>
    </w:p>
    <w:p w14:paraId="4FE14CB1" w14:textId="0B7A876E" w:rsidR="00DE03D1" w:rsidRPr="00F34D21" w:rsidRDefault="00DE03D1" w:rsidP="00DE03D1">
      <w:pPr>
        <w:rPr>
          <w:rFonts w:ascii="Ping LCG Regular" w:hAnsi="Ping LCG Regular"/>
          <w:b/>
          <w:bCs/>
          <w:sz w:val="20"/>
          <w:szCs w:val="20"/>
          <w:u w:val="single"/>
          <w:lang w:val="el-GR"/>
        </w:rPr>
      </w:pPr>
      <w:r w:rsidRPr="00F34D21">
        <w:rPr>
          <w:rFonts w:ascii="Ping LCG Regular" w:hAnsi="Ping LCG Regular"/>
          <w:b/>
          <w:bCs/>
          <w:sz w:val="20"/>
          <w:szCs w:val="20"/>
          <w:u w:val="single"/>
          <w:lang w:val="el-GR"/>
        </w:rPr>
        <w:lastRenderedPageBreak/>
        <w:t>Πληροφορίες: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8"/>
      </w:tblGrid>
      <w:tr w:rsidR="00DE03D1" w:rsidRPr="00F34D21" w14:paraId="34AD45E6" w14:textId="77777777">
        <w:tc>
          <w:tcPr>
            <w:tcW w:w="4318" w:type="dxa"/>
          </w:tcPr>
          <w:p w14:paraId="1147F998" w14:textId="77777777" w:rsidR="00DE03D1" w:rsidRPr="00F34D21" w:rsidRDefault="00DE03D1">
            <w:pPr>
              <w:pStyle w:val="DehPressRelease"/>
              <w:spacing w:after="0" w:line="240" w:lineRule="auto"/>
              <w:rPr>
                <w:sz w:val="20"/>
                <w:szCs w:val="20"/>
              </w:rPr>
            </w:pPr>
            <w:r w:rsidRPr="00F34D21">
              <w:rPr>
                <w:sz w:val="20"/>
                <w:szCs w:val="20"/>
              </w:rPr>
              <w:t>Διεύθυνση Επενδυτικών Σχέσεων</w:t>
            </w:r>
          </w:p>
          <w:p w14:paraId="113F0726" w14:textId="77777777" w:rsidR="00DE03D1" w:rsidRPr="00F34D21" w:rsidRDefault="00DE03D1">
            <w:pPr>
              <w:tabs>
                <w:tab w:val="left" w:pos="284"/>
              </w:tabs>
              <w:rPr>
                <w:rFonts w:ascii="Ping LCG Regular" w:hAnsi="Ping LCG Regular"/>
                <w:sz w:val="20"/>
                <w:szCs w:val="20"/>
                <w:lang w:val="el-GR"/>
              </w:rPr>
            </w:pPr>
            <w:r w:rsidRPr="00F34D21">
              <w:rPr>
                <w:rFonts w:ascii="Ping LCG Regular" w:hAnsi="Ping LCG Regular"/>
                <w:sz w:val="20"/>
                <w:szCs w:val="20"/>
                <w:lang w:val="el-GR"/>
              </w:rPr>
              <w:t>Χαλκοκονδύλη 30, 104 32 Αθήνα</w:t>
            </w:r>
          </w:p>
          <w:p w14:paraId="3A0208DC" w14:textId="77777777" w:rsidR="00DE03D1" w:rsidRPr="00F34D21" w:rsidRDefault="00DE03D1">
            <w:pPr>
              <w:tabs>
                <w:tab w:val="left" w:pos="284"/>
              </w:tabs>
              <w:rPr>
                <w:rFonts w:ascii="Ping LCG Regular" w:hAnsi="Ping LCG Regular"/>
                <w:sz w:val="20"/>
                <w:szCs w:val="20"/>
                <w:lang w:val="el-GR"/>
              </w:rPr>
            </w:pPr>
            <w:r w:rsidRPr="00F34D21">
              <w:rPr>
                <w:rFonts w:ascii="Ping LCG Regular" w:hAnsi="Ping LCG Regular"/>
                <w:sz w:val="20"/>
                <w:szCs w:val="20"/>
                <w:lang w:val="el-GR"/>
              </w:rPr>
              <w:t xml:space="preserve">Τ: </w:t>
            </w:r>
            <w:r w:rsidRPr="00F34D21">
              <w:rPr>
                <w:rFonts w:ascii="Ping LCG Regular" w:hAnsi="Ping LCG Regular"/>
                <w:sz w:val="20"/>
                <w:szCs w:val="20"/>
                <w:lang w:val="el-GR"/>
              </w:rPr>
              <w:tab/>
              <w:t>+30 210 529 2153</w:t>
            </w:r>
          </w:p>
          <w:p w14:paraId="7B1AA168" w14:textId="77777777" w:rsidR="00DE03D1" w:rsidRPr="00F34D21" w:rsidRDefault="00DE03D1">
            <w:pPr>
              <w:tabs>
                <w:tab w:val="left" w:pos="284"/>
              </w:tabs>
              <w:rPr>
                <w:rFonts w:ascii="Ping LCG Regular" w:hAnsi="Ping LCG Regular"/>
                <w:sz w:val="20"/>
                <w:szCs w:val="20"/>
              </w:rPr>
            </w:pPr>
            <w:r w:rsidRPr="00F34D21">
              <w:rPr>
                <w:rFonts w:ascii="Ping LCG Regular" w:hAnsi="Ping LCG Regular"/>
                <w:sz w:val="20"/>
                <w:szCs w:val="20"/>
                <w:lang w:val="el-GR"/>
              </w:rPr>
              <w:tab/>
            </w:r>
            <w:r w:rsidRPr="00F34D21">
              <w:rPr>
                <w:rFonts w:ascii="Ping LCG Regular" w:hAnsi="Ping LCG Regular"/>
                <w:sz w:val="20"/>
                <w:szCs w:val="20"/>
              </w:rPr>
              <w:t>+30 210 529 3665</w:t>
            </w:r>
          </w:p>
          <w:p w14:paraId="47AF098B" w14:textId="77777777" w:rsidR="00DE03D1" w:rsidRPr="00F34D21" w:rsidRDefault="00DE03D1">
            <w:pPr>
              <w:tabs>
                <w:tab w:val="left" w:pos="284"/>
              </w:tabs>
              <w:rPr>
                <w:rFonts w:ascii="Ping LCG Regular" w:hAnsi="Ping LCG Regular"/>
                <w:sz w:val="20"/>
                <w:szCs w:val="20"/>
              </w:rPr>
            </w:pPr>
            <w:r w:rsidRPr="00F34D21">
              <w:rPr>
                <w:rFonts w:ascii="Ping LCG Regular" w:hAnsi="Ping LCG Regular"/>
                <w:sz w:val="20"/>
                <w:szCs w:val="20"/>
              </w:rPr>
              <w:tab/>
              <w:t>+30 210 529 3207</w:t>
            </w:r>
          </w:p>
          <w:p w14:paraId="210DEF97" w14:textId="77777777" w:rsidR="00DE03D1" w:rsidRPr="00F34D21" w:rsidRDefault="00000000">
            <w:pPr>
              <w:pStyle w:val="DehPressRelease"/>
              <w:spacing w:after="0" w:line="240" w:lineRule="auto"/>
              <w:rPr>
                <w:rStyle w:val="Hyperlink"/>
                <w:sz w:val="20"/>
                <w:szCs w:val="20"/>
              </w:rPr>
            </w:pPr>
            <w:hyperlink r:id="rId12" w:history="1">
              <w:r w:rsidR="00DE03D1" w:rsidRPr="00F34D21">
                <w:rPr>
                  <w:rStyle w:val="Hyperlink"/>
                  <w:sz w:val="20"/>
                  <w:szCs w:val="20"/>
                </w:rPr>
                <w:t>ir@ppcgroup.com</w:t>
              </w:r>
            </w:hyperlink>
          </w:p>
          <w:p w14:paraId="2EAD4262" w14:textId="77777777" w:rsidR="00DE03D1" w:rsidRPr="00F34D21" w:rsidRDefault="00DE03D1">
            <w:pPr>
              <w:pStyle w:val="DehPressRelease"/>
              <w:spacing w:after="0" w:line="240" w:lineRule="auto"/>
              <w:rPr>
                <w:sz w:val="20"/>
                <w:szCs w:val="20"/>
                <w:lang w:val="en-US"/>
              </w:rPr>
            </w:pPr>
          </w:p>
        </w:tc>
        <w:tc>
          <w:tcPr>
            <w:tcW w:w="4318" w:type="dxa"/>
          </w:tcPr>
          <w:p w14:paraId="47D86ADD" w14:textId="77777777" w:rsidR="00DE03D1" w:rsidRPr="00F34D21" w:rsidRDefault="00DE03D1">
            <w:pPr>
              <w:tabs>
                <w:tab w:val="left" w:pos="284"/>
              </w:tabs>
              <w:rPr>
                <w:rFonts w:ascii="Ping LCG Regular" w:hAnsi="Ping LCG Regular"/>
                <w:sz w:val="20"/>
                <w:szCs w:val="20"/>
              </w:rPr>
            </w:pPr>
            <w:r w:rsidRPr="00F34D21">
              <w:rPr>
                <w:rFonts w:ascii="Ping LCG Regular" w:hAnsi="Ping LCG Regular"/>
                <w:sz w:val="20"/>
                <w:szCs w:val="20"/>
              </w:rPr>
              <w:t xml:space="preserve">Media Relations </w:t>
            </w:r>
            <w:r w:rsidRPr="00F34D21">
              <w:rPr>
                <w:rFonts w:ascii="Ping LCG Regular" w:hAnsi="Ping LCG Regular"/>
                <w:sz w:val="20"/>
                <w:szCs w:val="20"/>
                <w:lang w:val="el-GR"/>
              </w:rPr>
              <w:t>Ομίλου</w:t>
            </w:r>
            <w:r w:rsidRPr="00F34D21">
              <w:rPr>
                <w:rFonts w:ascii="Ping LCG Regular" w:hAnsi="Ping LCG Regular"/>
                <w:sz w:val="20"/>
                <w:szCs w:val="20"/>
              </w:rPr>
              <w:t xml:space="preserve"> </w:t>
            </w:r>
            <w:r w:rsidRPr="00F34D21">
              <w:rPr>
                <w:rFonts w:ascii="Ping LCG Regular" w:hAnsi="Ping LCG Regular"/>
                <w:sz w:val="20"/>
                <w:szCs w:val="20"/>
                <w:lang w:val="el-GR"/>
              </w:rPr>
              <w:t>ΔΕΗ</w:t>
            </w:r>
          </w:p>
          <w:p w14:paraId="54888224" w14:textId="77777777" w:rsidR="00DE03D1" w:rsidRPr="00F34D21" w:rsidRDefault="00DE03D1">
            <w:pPr>
              <w:tabs>
                <w:tab w:val="left" w:pos="284"/>
              </w:tabs>
              <w:rPr>
                <w:rFonts w:ascii="Ping LCG Regular" w:hAnsi="Ping LCG Regular"/>
                <w:sz w:val="20"/>
                <w:szCs w:val="20"/>
              </w:rPr>
            </w:pPr>
            <w:r w:rsidRPr="00F34D21">
              <w:rPr>
                <w:rFonts w:ascii="Ping LCG Regular" w:hAnsi="Ping LCG Regular"/>
                <w:sz w:val="20"/>
                <w:szCs w:val="20"/>
              </w:rPr>
              <w:t>Χα</w:t>
            </w:r>
            <w:proofErr w:type="spellStart"/>
            <w:r w:rsidRPr="00F34D21">
              <w:rPr>
                <w:rFonts w:ascii="Ping LCG Regular" w:hAnsi="Ping LCG Regular"/>
                <w:sz w:val="20"/>
                <w:szCs w:val="20"/>
              </w:rPr>
              <w:t>λκοκονδύλη</w:t>
            </w:r>
            <w:proofErr w:type="spellEnd"/>
            <w:r w:rsidRPr="00F34D21">
              <w:rPr>
                <w:rFonts w:ascii="Ping LCG Regular" w:hAnsi="Ping LCG Regular"/>
                <w:sz w:val="20"/>
                <w:szCs w:val="20"/>
              </w:rPr>
              <w:t xml:space="preserve"> 32, 104 32 </w:t>
            </w:r>
            <w:proofErr w:type="spellStart"/>
            <w:r w:rsidRPr="00F34D21">
              <w:rPr>
                <w:rFonts w:ascii="Ping LCG Regular" w:hAnsi="Ping LCG Regular"/>
                <w:sz w:val="20"/>
                <w:szCs w:val="20"/>
              </w:rPr>
              <w:t>Αθήν</w:t>
            </w:r>
            <w:proofErr w:type="spellEnd"/>
            <w:r w:rsidRPr="00F34D21">
              <w:rPr>
                <w:rFonts w:ascii="Ping LCG Regular" w:hAnsi="Ping LCG Regular"/>
                <w:sz w:val="20"/>
                <w:szCs w:val="20"/>
              </w:rPr>
              <w:t>α</w:t>
            </w:r>
          </w:p>
          <w:p w14:paraId="13F58176" w14:textId="77777777" w:rsidR="00DE03D1" w:rsidRPr="00F34D21" w:rsidRDefault="00DE03D1">
            <w:pPr>
              <w:tabs>
                <w:tab w:val="left" w:pos="284"/>
              </w:tabs>
              <w:rPr>
                <w:rFonts w:ascii="Ping LCG Regular" w:hAnsi="Ping LCG Regular"/>
                <w:sz w:val="20"/>
                <w:szCs w:val="20"/>
              </w:rPr>
            </w:pPr>
            <w:r w:rsidRPr="00F34D21">
              <w:rPr>
                <w:rFonts w:ascii="Ping LCG Regular" w:hAnsi="Ping LCG Regular"/>
                <w:sz w:val="20"/>
                <w:szCs w:val="20"/>
              </w:rPr>
              <w:t>Τ:</w:t>
            </w:r>
            <w:r w:rsidRPr="00F34D21">
              <w:rPr>
                <w:rFonts w:ascii="Ping LCG Regular" w:hAnsi="Ping LCG Regular"/>
                <w:sz w:val="20"/>
                <w:szCs w:val="20"/>
              </w:rPr>
              <w:tab/>
              <w:t xml:space="preserve">+30 210 523 1807, </w:t>
            </w:r>
          </w:p>
          <w:p w14:paraId="4C74524D" w14:textId="77777777" w:rsidR="00DE03D1" w:rsidRPr="00F34D21" w:rsidRDefault="00DE03D1">
            <w:pPr>
              <w:tabs>
                <w:tab w:val="left" w:pos="284"/>
              </w:tabs>
              <w:rPr>
                <w:rFonts w:ascii="Ping LCG Regular" w:hAnsi="Ping LCG Regular"/>
                <w:sz w:val="20"/>
                <w:szCs w:val="20"/>
              </w:rPr>
            </w:pPr>
            <w:r w:rsidRPr="00F34D21">
              <w:rPr>
                <w:rFonts w:ascii="Ping LCG Regular" w:hAnsi="Ping LCG Regular"/>
                <w:sz w:val="20"/>
                <w:szCs w:val="20"/>
              </w:rPr>
              <w:tab/>
              <w:t>+30 210 529 3404,</w:t>
            </w:r>
          </w:p>
          <w:p w14:paraId="258623EC" w14:textId="77777777" w:rsidR="00DE03D1" w:rsidRPr="00F34D21" w:rsidRDefault="00DE03D1">
            <w:pPr>
              <w:tabs>
                <w:tab w:val="left" w:pos="284"/>
              </w:tabs>
              <w:rPr>
                <w:rFonts w:ascii="Ping LCG Regular" w:hAnsi="Ping LCG Regular"/>
                <w:sz w:val="20"/>
                <w:szCs w:val="20"/>
              </w:rPr>
            </w:pPr>
            <w:r w:rsidRPr="00F34D21">
              <w:rPr>
                <w:rFonts w:ascii="Ping LCG Regular" w:hAnsi="Ping LCG Regular"/>
                <w:sz w:val="20"/>
                <w:szCs w:val="20"/>
              </w:rPr>
              <w:t xml:space="preserve"> </w:t>
            </w:r>
            <w:r w:rsidRPr="00F34D21">
              <w:rPr>
                <w:rFonts w:ascii="Ping LCG Regular" w:hAnsi="Ping LCG Regular"/>
                <w:sz w:val="20"/>
                <w:szCs w:val="20"/>
              </w:rPr>
              <w:tab/>
              <w:t>+30 697 270 7713</w:t>
            </w:r>
          </w:p>
          <w:p w14:paraId="261CE74F" w14:textId="77777777" w:rsidR="00DE03D1" w:rsidRPr="00F34D21" w:rsidRDefault="00000000">
            <w:pPr>
              <w:tabs>
                <w:tab w:val="left" w:pos="284"/>
              </w:tabs>
              <w:rPr>
                <w:rFonts w:ascii="Ping LCG Regular" w:hAnsi="Ping LCG Regular"/>
                <w:sz w:val="20"/>
                <w:szCs w:val="20"/>
              </w:rPr>
            </w:pPr>
            <w:hyperlink r:id="rId13" w:history="1">
              <w:r w:rsidR="00DE03D1" w:rsidRPr="00F34D21">
                <w:rPr>
                  <w:rStyle w:val="Hyperlink"/>
                  <w:rFonts w:ascii="Ping LCG Regular" w:hAnsi="Ping LCG Regular"/>
                  <w:sz w:val="20"/>
                  <w:szCs w:val="20"/>
                </w:rPr>
                <w:t>information@ppcgroup.com</w:t>
              </w:r>
            </w:hyperlink>
            <w:r w:rsidR="00DE03D1" w:rsidRPr="00F34D21">
              <w:rPr>
                <w:rStyle w:val="Hyperlink"/>
                <w:rFonts w:ascii="Ping LCG Regular" w:hAnsi="Ping LCG Regular"/>
                <w:sz w:val="20"/>
                <w:szCs w:val="20"/>
              </w:rPr>
              <w:t xml:space="preserve"> </w:t>
            </w:r>
          </w:p>
          <w:p w14:paraId="3DE27B9F" w14:textId="00B2729F" w:rsidR="00DE03D1" w:rsidRPr="00F34D21" w:rsidRDefault="000C0625">
            <w:pPr>
              <w:tabs>
                <w:tab w:val="left" w:pos="284"/>
              </w:tabs>
              <w:rPr>
                <w:rFonts w:ascii="Ping LCG Regular" w:hAnsi="Ping LCG Regular"/>
                <w:sz w:val="20"/>
                <w:szCs w:val="20"/>
              </w:rPr>
            </w:pPr>
            <w:r>
              <w:rPr>
                <w:rFonts w:ascii="Ping LCG Regular" w:hAnsi="Ping LCG Regular"/>
                <w:sz w:val="20"/>
                <w:szCs w:val="20"/>
              </w:rPr>
              <w:t xml:space="preserve">  </w:t>
            </w:r>
            <w:r w:rsidR="00DE03D1" w:rsidRPr="00F34D21">
              <w:rPr>
                <w:rFonts w:ascii="Ping LCG Regular" w:hAnsi="Ping LCG Regular"/>
                <w:sz w:val="20"/>
                <w:szCs w:val="20"/>
              </w:rPr>
              <w:t xml:space="preserve"> </w:t>
            </w:r>
          </w:p>
        </w:tc>
      </w:tr>
    </w:tbl>
    <w:p w14:paraId="765F58CD" w14:textId="77777777" w:rsidR="00DE03D1" w:rsidRPr="00F34D21" w:rsidRDefault="00DE03D1" w:rsidP="00DE03D1">
      <w:pPr>
        <w:pStyle w:val="DehPressRelease"/>
        <w:spacing w:after="0" w:line="240" w:lineRule="auto"/>
        <w:jc w:val="both"/>
        <w:rPr>
          <w:b/>
          <w:bCs/>
          <w:sz w:val="20"/>
          <w:szCs w:val="20"/>
          <w:lang w:val="en-US"/>
        </w:rPr>
      </w:pPr>
    </w:p>
    <w:p w14:paraId="42DE9EEB" w14:textId="77777777" w:rsidR="00DE03D1" w:rsidRPr="00F34D21" w:rsidRDefault="00DE03D1" w:rsidP="00DE03D1">
      <w:pPr>
        <w:jc w:val="both"/>
        <w:rPr>
          <w:rFonts w:ascii="Ping LCG Regular" w:hAnsi="Ping LCG Regular"/>
          <w:sz w:val="20"/>
          <w:szCs w:val="20"/>
          <w:lang w:val="el-GR"/>
        </w:rPr>
      </w:pPr>
      <w:r w:rsidRPr="00F34D21">
        <w:rPr>
          <w:rFonts w:ascii="Ping LCG Regular" w:hAnsi="Ping LCG Regular"/>
          <w:sz w:val="20"/>
          <w:szCs w:val="20"/>
          <w:lang w:val="el-GR"/>
        </w:rPr>
        <w:t>Το Δελτίο Τύπου είναι διαθέσιμο στον διαδικτυακό τόπο της ΔΕΗ Α.Ε (</w:t>
      </w:r>
      <w:proofErr w:type="spellStart"/>
      <w:r w:rsidRPr="00F34D21">
        <w:rPr>
          <w:rFonts w:ascii="Ping LCG Regular" w:hAnsi="Ping LCG Regular"/>
          <w:sz w:val="20"/>
          <w:szCs w:val="20"/>
        </w:rPr>
        <w:t>ppcgroup</w:t>
      </w:r>
      <w:proofErr w:type="spellEnd"/>
      <w:r w:rsidRPr="00F34D21">
        <w:rPr>
          <w:rFonts w:ascii="Ping LCG Regular" w:hAnsi="Ping LCG Regular"/>
          <w:sz w:val="20"/>
          <w:szCs w:val="20"/>
          <w:lang w:val="el-GR"/>
        </w:rPr>
        <w:t>.</w:t>
      </w:r>
      <w:r w:rsidRPr="00F34D21">
        <w:rPr>
          <w:rFonts w:ascii="Ping LCG Regular" w:hAnsi="Ping LCG Regular"/>
          <w:sz w:val="20"/>
          <w:szCs w:val="20"/>
        </w:rPr>
        <w:t>com</w:t>
      </w:r>
      <w:r w:rsidRPr="00F34D21">
        <w:rPr>
          <w:rFonts w:ascii="Ping LCG Regular" w:hAnsi="Ping LCG Regular"/>
          <w:sz w:val="20"/>
          <w:szCs w:val="20"/>
          <w:lang w:val="el-GR"/>
        </w:rPr>
        <w:t>) στην ενότητα “Επενδυτικές Σχέσεις”.</w:t>
      </w:r>
    </w:p>
    <w:p w14:paraId="71836D51" w14:textId="77777777" w:rsidR="00DE03D1" w:rsidRPr="00B460E7" w:rsidRDefault="00DE03D1" w:rsidP="00DE03D1">
      <w:pPr>
        <w:jc w:val="both"/>
        <w:rPr>
          <w:rFonts w:ascii="Ping LCG Regular" w:hAnsi="Ping LCG Regular"/>
          <w:sz w:val="20"/>
          <w:szCs w:val="20"/>
          <w:highlight w:val="yellow"/>
          <w:lang w:val="el-GR"/>
        </w:rPr>
      </w:pPr>
    </w:p>
    <w:p w14:paraId="34FD22DC" w14:textId="77777777" w:rsidR="00DE03D1" w:rsidRPr="008F0BDF" w:rsidRDefault="00DE03D1" w:rsidP="00DE03D1">
      <w:pPr>
        <w:spacing w:after="200" w:line="276" w:lineRule="auto"/>
        <w:jc w:val="both"/>
        <w:rPr>
          <w:rFonts w:ascii="Ping LCG Regular" w:hAnsi="Ping LCG Regular"/>
          <w:b/>
          <w:bCs/>
          <w:sz w:val="20"/>
          <w:szCs w:val="20"/>
          <w:lang w:val="el-GR"/>
        </w:rPr>
      </w:pPr>
      <w:r w:rsidRPr="008F0BDF">
        <w:rPr>
          <w:rFonts w:ascii="Ping LCG Regular" w:hAnsi="Ping LCG Regular"/>
          <w:b/>
          <w:bCs/>
          <w:sz w:val="20"/>
          <w:szCs w:val="20"/>
          <w:lang w:val="el-GR"/>
        </w:rPr>
        <w:t>Σχετικά με τη Δημόσια Επιχείρηση Ηλεκτρισμού Α.Ε.</w:t>
      </w:r>
    </w:p>
    <w:p w14:paraId="6E2F1AC0" w14:textId="5F27E1A7" w:rsidR="00DE03D1" w:rsidRPr="008F0BDF" w:rsidRDefault="00DE03D1" w:rsidP="00DE03D1">
      <w:pPr>
        <w:spacing w:after="120"/>
        <w:jc w:val="both"/>
        <w:rPr>
          <w:rFonts w:ascii="Ping LCG Regular" w:hAnsi="Ping LCG Regular"/>
          <w:sz w:val="20"/>
          <w:szCs w:val="20"/>
          <w:lang w:val="el-GR"/>
        </w:rPr>
      </w:pPr>
      <w:r w:rsidRPr="008F0BDF">
        <w:rPr>
          <w:rFonts w:ascii="Ping LCG Regular" w:hAnsi="Ping LCG Regular"/>
          <w:sz w:val="20"/>
          <w:szCs w:val="20"/>
          <w:lang w:val="el-GR"/>
        </w:rPr>
        <w:t xml:space="preserve">Η ΔΕΗ είναι </w:t>
      </w:r>
      <w:r w:rsidR="00440E6D">
        <w:rPr>
          <w:rFonts w:ascii="Ping LCG Regular" w:hAnsi="Ping LCG Regular"/>
          <w:sz w:val="20"/>
          <w:szCs w:val="20"/>
          <w:lang w:val="el-GR"/>
        </w:rPr>
        <w:t>ο κορυφαίος Όμιλος</w:t>
      </w:r>
      <w:r w:rsidRPr="008F0BDF">
        <w:rPr>
          <w:rFonts w:ascii="Ping LCG Regular" w:hAnsi="Ping LCG Regular"/>
          <w:sz w:val="20"/>
          <w:szCs w:val="20"/>
          <w:lang w:val="el-GR"/>
        </w:rPr>
        <w:t xml:space="preserve"> ενέργειας στην Νοτιοανατολική Ευρώπη, με δραστηριότητες στην παραγωγή, διανομή και πώληση προηγμένων προϊόντων και υπηρεσιών ενέργειας στην Ελλάδα, την Ρουμανία και την Βόρεια Μακεδονία. </w:t>
      </w:r>
    </w:p>
    <w:p w14:paraId="202226DF" w14:textId="77777777" w:rsidR="00DE03D1" w:rsidRDefault="00DE03D1" w:rsidP="00DE03D1">
      <w:pPr>
        <w:spacing w:after="120"/>
        <w:jc w:val="both"/>
        <w:rPr>
          <w:rFonts w:ascii="Ping LCG Regular" w:hAnsi="Ping LCG Regular"/>
          <w:sz w:val="20"/>
          <w:szCs w:val="20"/>
          <w:lang w:val="el-GR"/>
        </w:rPr>
      </w:pPr>
      <w:r w:rsidRPr="008F0BDF">
        <w:rPr>
          <w:rFonts w:ascii="Ping LCG Regular" w:hAnsi="Ping LCG Regular"/>
          <w:sz w:val="20"/>
          <w:szCs w:val="20"/>
          <w:lang w:val="el-GR"/>
        </w:rPr>
        <w:t xml:space="preserve">Το παραγωγικό δυναμικό της ΔΕΗ ανέρχεται σε 12,4GW, με θερμικούς, υδροηλεκτρικούς σταθμούς και εγκαταστάσεις Ανανεώσιμων Πηγών Ενέργειας με συνολική ετήσια παραγωγή ενέργειας περίπου 22TWh, ενώ η συνολική Ρυθμιζόμενη Περιουσιακή Βάση </w:t>
      </w:r>
      <w:r w:rsidRPr="00516C01">
        <w:rPr>
          <w:rFonts w:ascii="Ping LCG Regular" w:hAnsi="Ping LCG Regular"/>
          <w:sz w:val="20"/>
          <w:szCs w:val="20"/>
          <w:lang w:val="el-GR"/>
        </w:rPr>
        <w:t>στα δίκτυα διανομής της στο τέλος του 2024, ανερχόταν σε περίπου €4,9 δισ.</w:t>
      </w:r>
    </w:p>
    <w:p w14:paraId="5939FADF" w14:textId="77777777" w:rsidR="00DE03D1" w:rsidRPr="008F0BDF" w:rsidRDefault="00DE03D1" w:rsidP="00DE03D1">
      <w:pPr>
        <w:spacing w:after="120"/>
        <w:jc w:val="both"/>
        <w:rPr>
          <w:rFonts w:ascii="Ping LCG Regular" w:hAnsi="Ping LCG Regular"/>
          <w:sz w:val="20"/>
          <w:szCs w:val="20"/>
          <w:lang w:val="el-GR"/>
        </w:rPr>
      </w:pPr>
      <w:r w:rsidRPr="008F0BDF">
        <w:rPr>
          <w:rFonts w:ascii="Ping LCG Regular" w:hAnsi="Ping LCG Regular"/>
          <w:sz w:val="20"/>
          <w:szCs w:val="20"/>
          <w:lang w:val="el-GR"/>
        </w:rPr>
        <w:t xml:space="preserve">Ο Όμιλος ΔΕΗ αποτελεί τον μεγαλύτερο προμηθευτή ενέργειας στην Ελλάδα και τη Ρουμανία, εξυπηρετώντας 8,8 εκατ. πελάτες στους οποίους παρέχει περίπου 33TWh ηλεκτρικής ενέργειας και μία ευρεία σειρά ενεργειακών προϊόντων και υπηρεσιών. </w:t>
      </w:r>
    </w:p>
    <w:p w14:paraId="205A3041" w14:textId="77777777" w:rsidR="00DE03D1" w:rsidRPr="008F0BDF" w:rsidRDefault="00DE03D1" w:rsidP="00DE03D1">
      <w:pPr>
        <w:spacing w:after="120"/>
        <w:jc w:val="both"/>
        <w:rPr>
          <w:rFonts w:ascii="Ping LCG Regular" w:hAnsi="Ping LCG Regular"/>
          <w:sz w:val="20"/>
          <w:szCs w:val="20"/>
          <w:lang w:val="el-GR"/>
        </w:rPr>
      </w:pPr>
      <w:r w:rsidRPr="008F0BDF">
        <w:rPr>
          <w:rFonts w:ascii="Ping LCG Regular" w:hAnsi="Ping LCG Regular"/>
          <w:sz w:val="20"/>
          <w:szCs w:val="20"/>
          <w:lang w:val="el-GR"/>
        </w:rPr>
        <w:t>Η ΔΕΗ ιδρύθηκε το 1950 και είναι εισηγμένη στο Χρηματιστήριο Αθηνών από το 2001.</w:t>
      </w:r>
    </w:p>
    <w:p w14:paraId="3EF9EF07" w14:textId="77777777" w:rsidR="00DE03D1" w:rsidRPr="00B460E7" w:rsidRDefault="00DE03D1" w:rsidP="00DE03D1">
      <w:pPr>
        <w:jc w:val="both"/>
        <w:rPr>
          <w:rFonts w:ascii="Ping LCG Regular" w:hAnsi="Ping LCG Regular"/>
          <w:sz w:val="22"/>
          <w:szCs w:val="22"/>
          <w:highlight w:val="yellow"/>
          <w:lang w:val="el-GR"/>
        </w:rPr>
      </w:pPr>
    </w:p>
    <w:p w14:paraId="1553A8FA" w14:textId="77777777" w:rsidR="00DE03D1" w:rsidRPr="00B460E7" w:rsidRDefault="00DE03D1" w:rsidP="00DE03D1">
      <w:pPr>
        <w:jc w:val="both"/>
        <w:rPr>
          <w:rFonts w:ascii="Ping LCG Regular" w:hAnsi="Ping LCG Regular"/>
          <w:sz w:val="22"/>
          <w:szCs w:val="22"/>
          <w:highlight w:val="yellow"/>
          <w:lang w:val="el-GR"/>
        </w:rPr>
      </w:pPr>
    </w:p>
    <w:p w14:paraId="45863299" w14:textId="77777777" w:rsidR="00DE03D1" w:rsidRPr="00B460E7" w:rsidRDefault="00DE03D1" w:rsidP="00DE03D1">
      <w:pPr>
        <w:rPr>
          <w:rFonts w:ascii="Ping LCG Regular" w:hAnsi="Ping LCG Regular"/>
          <w:b/>
          <w:bCs/>
          <w:sz w:val="18"/>
          <w:szCs w:val="18"/>
          <w:highlight w:val="yellow"/>
          <w:lang w:val="el-GR"/>
        </w:rPr>
      </w:pPr>
    </w:p>
    <w:p w14:paraId="484FDEC4" w14:textId="77777777" w:rsidR="00DE03D1" w:rsidRPr="008F0BDF" w:rsidRDefault="00DE03D1" w:rsidP="00DE03D1">
      <w:pPr>
        <w:jc w:val="both"/>
        <w:rPr>
          <w:rFonts w:ascii="Ping LCG Regular" w:hAnsi="Ping LCG Regular"/>
          <w:b/>
          <w:bCs/>
          <w:sz w:val="18"/>
          <w:szCs w:val="18"/>
          <w:lang w:val="el-GR"/>
        </w:rPr>
      </w:pPr>
      <w:r w:rsidRPr="008F0BDF">
        <w:rPr>
          <w:rFonts w:ascii="Ping LCG Regular" w:hAnsi="Ping LCG Regular"/>
          <w:b/>
          <w:bCs/>
          <w:sz w:val="18"/>
          <w:szCs w:val="18"/>
          <w:lang w:val="el-GR"/>
        </w:rPr>
        <w:t>Δήλωση αποποίησης ευθύνης</w:t>
      </w:r>
    </w:p>
    <w:p w14:paraId="3B21CE1C" w14:textId="77777777" w:rsidR="00DE03D1" w:rsidRPr="008F0BDF" w:rsidRDefault="00DE03D1" w:rsidP="00DE03D1">
      <w:pPr>
        <w:jc w:val="both"/>
        <w:rPr>
          <w:rFonts w:ascii="Ping LCG Regular" w:hAnsi="Ping LCG Regular"/>
          <w:sz w:val="18"/>
          <w:szCs w:val="18"/>
          <w:lang w:val="el-GR"/>
        </w:rPr>
      </w:pPr>
      <w:r w:rsidRPr="008F0BDF">
        <w:rPr>
          <w:rFonts w:ascii="Ping LCG Regular" w:hAnsi="Ping LCG Regular"/>
          <w:sz w:val="18"/>
          <w:szCs w:val="18"/>
          <w:lang w:val="el-GR"/>
        </w:rPr>
        <w:t>Ορισμένες πληροφορίες που περιέχονται στην παρούσα ανακοίνωση, συμπεριλαμβανομένων των μελλοντικών EBITDA, των κερδών, των δαπανών και άλλων οικονομικών μέτρων που αφορούν σε μελλοντικές περιόδους, βασίζονται σε τρέχουσες προσδοκίες και παραδοχές σχετικά με μελλοντικά γεγονότα. Οι χρηματοοικονομικοί δείκτες που αναφέρονται σε μελλοντικές περιόδους βασίζονται σε τρέχουσες εύλογες και καλόπιστες παραδοχές. Δεν παρέχουμε καμία διαβεβαίωση ότι οι εν λόγω χρηματοοικονομικοί δείκτες θα επιτευχθούν.</w:t>
      </w:r>
    </w:p>
    <w:p w14:paraId="1AECD7E6" w14:textId="77777777" w:rsidR="00DE03D1" w:rsidRPr="008F0BDF" w:rsidRDefault="00DE03D1" w:rsidP="00DE03D1">
      <w:pPr>
        <w:jc w:val="both"/>
        <w:rPr>
          <w:rFonts w:ascii="Ping LCG Regular" w:hAnsi="Ping LCG Regular"/>
          <w:sz w:val="18"/>
          <w:szCs w:val="18"/>
          <w:lang w:val="el-GR"/>
        </w:rPr>
      </w:pPr>
    </w:p>
    <w:p w14:paraId="0B235039" w14:textId="77777777" w:rsidR="00DE03D1" w:rsidRPr="008F0BDF" w:rsidRDefault="00DE03D1" w:rsidP="00DE03D1">
      <w:pPr>
        <w:jc w:val="both"/>
        <w:rPr>
          <w:rFonts w:ascii="Ping LCG Regular" w:hAnsi="Ping LCG Regular"/>
          <w:sz w:val="18"/>
          <w:szCs w:val="18"/>
          <w:lang w:val="el-GR"/>
        </w:rPr>
      </w:pPr>
      <w:r w:rsidRPr="008F0BDF">
        <w:rPr>
          <w:rFonts w:ascii="Ping LCG Regular" w:hAnsi="Ping LCG Regular"/>
          <w:sz w:val="18"/>
          <w:szCs w:val="18"/>
          <w:lang w:val="el-GR"/>
        </w:rPr>
        <w:t xml:space="preserve">Αυτές οι δηλώσεις που αφορούν μελλοντικά γεγονότα υπόκεινται, μεταξύ άλλων, i) στους επιχειρηματικούς, οικονομικούς και ανταγωνιστικούς κινδύνους, </w:t>
      </w:r>
      <w:proofErr w:type="spellStart"/>
      <w:r w:rsidRPr="008F0BDF">
        <w:rPr>
          <w:rFonts w:ascii="Ping LCG Regular" w:hAnsi="Ping LCG Regular"/>
          <w:sz w:val="18"/>
          <w:szCs w:val="18"/>
          <w:lang w:val="el-GR"/>
        </w:rPr>
        <w:t>ii</w:t>
      </w:r>
      <w:proofErr w:type="spellEnd"/>
      <w:r w:rsidRPr="008F0BDF">
        <w:rPr>
          <w:rFonts w:ascii="Ping LCG Regular" w:hAnsi="Ping LCG Regular"/>
          <w:sz w:val="18"/>
          <w:szCs w:val="18"/>
          <w:lang w:val="el-GR"/>
        </w:rPr>
        <w:t xml:space="preserve">) στις μακροοικονομικές συνθήκες, </w:t>
      </w:r>
      <w:proofErr w:type="spellStart"/>
      <w:r w:rsidRPr="008F0BDF">
        <w:rPr>
          <w:rFonts w:ascii="Ping LCG Regular" w:hAnsi="Ping LCG Regular"/>
          <w:sz w:val="18"/>
          <w:szCs w:val="18"/>
          <w:lang w:val="el-GR"/>
        </w:rPr>
        <w:t>iii</w:t>
      </w:r>
      <w:proofErr w:type="spellEnd"/>
      <w:r w:rsidRPr="008F0BDF">
        <w:rPr>
          <w:rFonts w:ascii="Ping LCG Regular" w:hAnsi="Ping LCG Regular"/>
          <w:sz w:val="18"/>
          <w:szCs w:val="18"/>
          <w:lang w:val="el-GR"/>
        </w:rPr>
        <w:t>) στη διακύμανση του ευρώ έναντι των συναλλαγματικών ισοτιμιών του δολαρίου ΗΠΑ και του LEU Ρουμανίας</w:t>
      </w:r>
      <w:r w:rsidRPr="008F0BDF">
        <w:rPr>
          <w:rFonts w:ascii="Ping LCG Regular" w:hAnsi="Ping LCG Regular"/>
          <w:color w:val="000000" w:themeColor="text1"/>
          <w:sz w:val="18"/>
          <w:szCs w:val="18"/>
          <w:lang w:val="el-GR"/>
        </w:rPr>
        <w:t xml:space="preserve">, </w:t>
      </w:r>
      <w:proofErr w:type="spellStart"/>
      <w:r w:rsidRPr="008F0BDF">
        <w:rPr>
          <w:rFonts w:ascii="Ping LCG Regular" w:hAnsi="Ping LCG Regular"/>
          <w:color w:val="000000" w:themeColor="text1"/>
          <w:sz w:val="18"/>
          <w:szCs w:val="18"/>
          <w:lang w:val="el-GR"/>
        </w:rPr>
        <w:t>iv</w:t>
      </w:r>
      <w:proofErr w:type="spellEnd"/>
      <w:r w:rsidRPr="008F0BDF">
        <w:rPr>
          <w:rFonts w:ascii="Ping LCG Regular" w:hAnsi="Ping LCG Regular"/>
          <w:color w:val="000000" w:themeColor="text1"/>
          <w:sz w:val="18"/>
          <w:szCs w:val="18"/>
          <w:lang w:val="el-GR"/>
        </w:rPr>
        <w:t>) στις τιμές πετρελαίου</w:t>
      </w:r>
      <w:r w:rsidRPr="008F0BDF">
        <w:rPr>
          <w:rFonts w:ascii="Ping LCG Regular" w:hAnsi="Ping LCG Regular"/>
          <w:sz w:val="18"/>
          <w:szCs w:val="18"/>
          <w:lang w:val="el-GR"/>
        </w:rPr>
        <w:t>, φυσικού αερίου και ηλεκτρικής ενέργειας και στην τιμή των δικαιωμάτων εκπομπών CO</w:t>
      </w:r>
      <w:r w:rsidRPr="008F0BDF">
        <w:rPr>
          <w:rFonts w:ascii="Ping LCG Regular" w:hAnsi="Ping LCG Regular"/>
          <w:sz w:val="18"/>
          <w:szCs w:val="18"/>
          <w:vertAlign w:val="subscript"/>
          <w:lang w:val="el-GR"/>
        </w:rPr>
        <w:t>2</w:t>
      </w:r>
      <w:r w:rsidRPr="008F0BDF">
        <w:rPr>
          <w:rFonts w:ascii="Ping LCG Regular" w:hAnsi="Ping LCG Regular"/>
          <w:sz w:val="18"/>
          <w:szCs w:val="18"/>
          <w:lang w:val="el-GR"/>
        </w:rPr>
        <w:t xml:space="preserve">, v) στις αλλαγές του τοπίου της αγοράς και του νομικού, κανονιστικού, φορολογικού και δημοσιονομικού τοπίου, </w:t>
      </w:r>
      <w:proofErr w:type="spellStart"/>
      <w:r w:rsidRPr="008F0BDF">
        <w:rPr>
          <w:rFonts w:ascii="Ping LCG Regular" w:hAnsi="Ping LCG Regular"/>
          <w:sz w:val="18"/>
          <w:szCs w:val="18"/>
          <w:lang w:val="el-GR"/>
        </w:rPr>
        <w:t>vi</w:t>
      </w:r>
      <w:proofErr w:type="spellEnd"/>
      <w:r w:rsidRPr="008F0BDF">
        <w:rPr>
          <w:rFonts w:ascii="Ping LCG Regular" w:hAnsi="Ping LCG Regular"/>
          <w:sz w:val="18"/>
          <w:szCs w:val="18"/>
          <w:lang w:val="el-GR"/>
        </w:rPr>
        <w:t xml:space="preserve">) στην εξέλιξη του επισφαλούς χρέους, και </w:t>
      </w:r>
      <w:proofErr w:type="spellStart"/>
      <w:r w:rsidRPr="008F0BDF">
        <w:rPr>
          <w:rFonts w:ascii="Ping LCG Regular" w:hAnsi="Ping LCG Regular"/>
          <w:sz w:val="18"/>
          <w:szCs w:val="18"/>
          <w:lang w:val="el-GR"/>
        </w:rPr>
        <w:t>vii</w:t>
      </w:r>
      <w:proofErr w:type="spellEnd"/>
      <w:r w:rsidRPr="008F0BDF">
        <w:rPr>
          <w:rFonts w:ascii="Ping LCG Regular" w:hAnsi="Ping LCG Regular"/>
          <w:sz w:val="18"/>
          <w:szCs w:val="18"/>
          <w:lang w:val="el-GR"/>
        </w:rPr>
        <w:t xml:space="preserve">) άλλες αβεβαιότητες και απρόβλεπτες καταστάσεις, οι οποίες σχετίζονται με παράγοντες που η ΔΕΗ δεν είναι σε θέση να ελέγξει ή να εκτιμήσει με ακρίβεια, και οι οποίοι θα μπορούσαν να έχουν ως αποτέλεσμα την ουσιαστική διαφοροποίηση των πραγματικών γεγονότων ή των αποτελεσμάτων από εκείνα που εκφράζονται στην ανακοίνωση. Ως εκ τούτου, δεν θα πρέπει να βασίζεστε υπέρ του δέοντος σε αυτές τις δηλώσεις που αφορούν μελλοντικά γεγονότα, οι οποίες αφορούν μόνον την ημερομηνία της παρούσας ανακοίνωσης. </w:t>
      </w:r>
    </w:p>
    <w:p w14:paraId="64C960FD" w14:textId="77777777" w:rsidR="00DE03D1" w:rsidRPr="008F0BDF" w:rsidRDefault="00DE03D1" w:rsidP="00DE03D1">
      <w:pPr>
        <w:jc w:val="both"/>
        <w:rPr>
          <w:rFonts w:ascii="Ping LCG Regular" w:hAnsi="Ping LCG Regular"/>
          <w:sz w:val="18"/>
          <w:szCs w:val="18"/>
          <w:lang w:val="el-GR"/>
        </w:rPr>
      </w:pPr>
    </w:p>
    <w:p w14:paraId="1C9AB24A" w14:textId="77777777" w:rsidR="00DE03D1" w:rsidRPr="008F0BDF" w:rsidRDefault="00DE03D1" w:rsidP="00DE03D1">
      <w:pPr>
        <w:jc w:val="both"/>
        <w:rPr>
          <w:rFonts w:ascii="Ping LCG Regular" w:hAnsi="Ping LCG Regular"/>
          <w:sz w:val="18"/>
          <w:szCs w:val="18"/>
          <w:lang w:val="el-GR"/>
        </w:rPr>
      </w:pPr>
      <w:r w:rsidRPr="008F0BDF">
        <w:rPr>
          <w:rFonts w:ascii="Ping LCG Regular" w:hAnsi="Ping LCG Regular"/>
          <w:sz w:val="18"/>
          <w:szCs w:val="18"/>
          <w:lang w:val="el-GR"/>
        </w:rPr>
        <w:t>Η ΔΕΗ δεν αναλαμβάνει καμία υποχρέωση να δημοσιοποιήσει τυχόν αναθεωρήσεις αυτών των δηλώσεων ώστε να αντικατοπτρίζουν γεγονότα ή περιστάσεις μετά την ημερομηνία της παρούσας ανακοίνωσης.</w:t>
      </w:r>
    </w:p>
    <w:p w14:paraId="75B67554" w14:textId="77777777" w:rsidR="00DE03D1" w:rsidRPr="008F0BDF" w:rsidRDefault="00DE03D1" w:rsidP="00DE03D1">
      <w:pPr>
        <w:jc w:val="both"/>
        <w:rPr>
          <w:rFonts w:ascii="Ping LCG Regular" w:hAnsi="Ping LCG Regular"/>
          <w:color w:val="FF0000"/>
          <w:sz w:val="20"/>
          <w:szCs w:val="20"/>
          <w:lang w:val="el-GR"/>
        </w:rPr>
      </w:pPr>
    </w:p>
    <w:p w14:paraId="73C01D69" w14:textId="77777777" w:rsidR="00DE03D1" w:rsidRPr="00B460E7" w:rsidRDefault="00DE03D1" w:rsidP="00DE03D1">
      <w:pPr>
        <w:rPr>
          <w:rFonts w:ascii="Ping LCG Regular" w:hAnsi="Ping LCG Regular"/>
          <w:b/>
          <w:bCs/>
          <w:color w:val="FF0000"/>
          <w:sz w:val="20"/>
          <w:szCs w:val="20"/>
          <w:highlight w:val="yellow"/>
          <w:lang w:val="el-GR"/>
        </w:rPr>
      </w:pPr>
      <w:r w:rsidRPr="00B460E7">
        <w:rPr>
          <w:rFonts w:ascii="Ping LCG Regular" w:hAnsi="Ping LCG Regular"/>
          <w:b/>
          <w:bCs/>
          <w:color w:val="FF0000"/>
          <w:sz w:val="20"/>
          <w:szCs w:val="20"/>
          <w:highlight w:val="yellow"/>
          <w:lang w:val="el-GR"/>
        </w:rPr>
        <w:br w:type="page"/>
      </w:r>
    </w:p>
    <w:p w14:paraId="2C3535C3" w14:textId="77777777" w:rsidR="00DE03D1" w:rsidRPr="005C2172" w:rsidRDefault="00DE03D1" w:rsidP="00DE03D1">
      <w:pPr>
        <w:jc w:val="both"/>
        <w:rPr>
          <w:rFonts w:ascii="Ping LCG Regular" w:hAnsi="Ping LCG Regular"/>
          <w:b/>
          <w:bCs/>
          <w:sz w:val="20"/>
          <w:szCs w:val="20"/>
          <w:lang w:val="el-GR"/>
        </w:rPr>
      </w:pPr>
      <w:r w:rsidRPr="007A5994">
        <w:rPr>
          <w:rFonts w:ascii="Ping LCG Regular" w:hAnsi="Ping LCG Regular"/>
          <w:b/>
          <w:bCs/>
          <w:sz w:val="20"/>
          <w:szCs w:val="20"/>
          <w:lang w:val="el-GR"/>
        </w:rPr>
        <w:lastRenderedPageBreak/>
        <w:t xml:space="preserve">ΠΑΡΑΡΤΗΜΑ </w:t>
      </w:r>
      <w:r w:rsidRPr="007A5994">
        <w:rPr>
          <w:rFonts w:ascii="Ping LCG Regular" w:hAnsi="Ping LCG Regular"/>
          <w:b/>
          <w:bCs/>
          <w:sz w:val="20"/>
          <w:szCs w:val="20"/>
        </w:rPr>
        <w:t>I</w:t>
      </w:r>
      <w:r w:rsidRPr="007A5994">
        <w:rPr>
          <w:rFonts w:ascii="Ping LCG Regular" w:hAnsi="Ping LCG Regular"/>
          <w:b/>
          <w:bCs/>
          <w:sz w:val="20"/>
          <w:szCs w:val="20"/>
          <w:lang w:val="el-GR"/>
        </w:rPr>
        <w:t xml:space="preserve"> – ΣΥΝΟΠΤΙΚΕΣ ΕΝΟΠΟΙΗΜΕΝΕΣ ΟΙΚΟΝΟΜΙΚΕΣ ΚΑΤΑΣΤΑΣΕΙΣ</w:t>
      </w:r>
    </w:p>
    <w:p w14:paraId="105C53FB" w14:textId="77777777" w:rsidR="00DE03D1" w:rsidRPr="001B4B0F" w:rsidRDefault="00DE03D1" w:rsidP="00DE03D1">
      <w:pPr>
        <w:jc w:val="both"/>
        <w:rPr>
          <w:rFonts w:ascii="Ping LCG Regular" w:hAnsi="Ping LCG Regular"/>
          <w:b/>
          <w:bCs/>
          <w:sz w:val="20"/>
          <w:szCs w:val="20"/>
          <w:highlight w:val="yellow"/>
          <w:lang w:val="el-GR"/>
        </w:rPr>
      </w:pPr>
    </w:p>
    <w:p w14:paraId="410E8B5E" w14:textId="77777777" w:rsidR="00DE03D1" w:rsidRPr="001B4B0F" w:rsidRDefault="00DE03D1" w:rsidP="00DE03D1">
      <w:pPr>
        <w:jc w:val="both"/>
        <w:rPr>
          <w:rFonts w:ascii="Ping LCG Regular" w:hAnsi="Ping LCG Regular"/>
          <w:b/>
          <w:sz w:val="20"/>
          <w:szCs w:val="20"/>
          <w:lang w:val="el-GR"/>
        </w:rPr>
      </w:pPr>
      <w:r w:rsidRPr="00ED454B">
        <w:rPr>
          <w:rFonts w:ascii="Ping LCG Regular" w:hAnsi="Ping LCG Regular"/>
          <w:b/>
          <w:sz w:val="20"/>
          <w:szCs w:val="20"/>
          <w:lang w:val="el-GR"/>
        </w:rPr>
        <w:t>Ενοποιημένη Κατάσταση Χρηματοοικονομικής Θέσης (Συνοπτική)</w:t>
      </w:r>
    </w:p>
    <w:p w14:paraId="66055E0D" w14:textId="77777777" w:rsidR="00DE03D1" w:rsidRPr="001B4B0F" w:rsidRDefault="00DE03D1" w:rsidP="00DE03D1">
      <w:pPr>
        <w:jc w:val="both"/>
        <w:rPr>
          <w:rFonts w:ascii="Ping LCG Regular" w:hAnsi="Ping LCG Regular"/>
          <w:b/>
          <w:bCs/>
          <w:sz w:val="20"/>
          <w:szCs w:val="20"/>
          <w:highlight w:val="yellow"/>
          <w:lang w:val="el-GR"/>
        </w:rPr>
      </w:pPr>
    </w:p>
    <w:p w14:paraId="76F60ECE" w14:textId="77777777" w:rsidR="00DE03D1" w:rsidRDefault="00DE03D1" w:rsidP="00DE03D1">
      <w:pPr>
        <w:rPr>
          <w:rFonts w:ascii="Ping LCG Regular" w:hAnsi="Ping LCG Regular"/>
          <w:b/>
          <w:sz w:val="20"/>
          <w:szCs w:val="20"/>
          <w:lang w:val="el-GR"/>
        </w:rPr>
      </w:pPr>
    </w:p>
    <w:p w14:paraId="58A2FF3A" w14:textId="034E6A7C" w:rsidR="00DE03D1" w:rsidRDefault="00DE03D1" w:rsidP="00DE03D1">
      <w:pPr>
        <w:rPr>
          <w:rFonts w:ascii="Ping LCG Regular" w:hAnsi="Ping LCG Regular"/>
          <w:b/>
          <w:sz w:val="20"/>
          <w:szCs w:val="20"/>
          <w:lang w:val="el-GR"/>
        </w:rPr>
      </w:pPr>
    </w:p>
    <w:p w14:paraId="002640CC" w14:textId="4312BA23" w:rsidR="00DE03D1" w:rsidRPr="00E44EC5" w:rsidRDefault="00AB1E37" w:rsidP="00DE03D1">
      <w:pPr>
        <w:rPr>
          <w:rFonts w:ascii="Ping LCG Regular" w:hAnsi="Ping LCG Regular"/>
          <w:b/>
          <w:sz w:val="20"/>
          <w:szCs w:val="20"/>
          <w:lang w:val="el-GR"/>
        </w:rPr>
      </w:pPr>
      <w:r w:rsidRPr="00AB1E37">
        <w:rPr>
          <w:noProof/>
        </w:rPr>
        <w:drawing>
          <wp:inline distT="0" distB="0" distL="0" distR="0" wp14:anchorId="384ACD22" wp14:editId="1CB58EB9">
            <wp:extent cx="5594350" cy="6436360"/>
            <wp:effectExtent l="0" t="0" r="6350" b="2540"/>
            <wp:docPr id="20596454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4350" cy="6436360"/>
                    </a:xfrm>
                    <a:prstGeom prst="rect">
                      <a:avLst/>
                    </a:prstGeom>
                    <a:noFill/>
                    <a:ln>
                      <a:noFill/>
                    </a:ln>
                  </pic:spPr>
                </pic:pic>
              </a:graphicData>
            </a:graphic>
          </wp:inline>
        </w:drawing>
      </w:r>
    </w:p>
    <w:p w14:paraId="569074BA" w14:textId="77777777" w:rsidR="00DE03D1" w:rsidRDefault="00DE03D1" w:rsidP="00DE03D1">
      <w:pPr>
        <w:rPr>
          <w:rFonts w:ascii="Ping LCG Regular" w:hAnsi="Ping LCG Regular"/>
          <w:b/>
          <w:sz w:val="20"/>
          <w:szCs w:val="20"/>
          <w:lang w:val="el-GR"/>
        </w:rPr>
      </w:pPr>
    </w:p>
    <w:p w14:paraId="7EDADA43" w14:textId="77777777" w:rsidR="00DE03D1" w:rsidRDefault="00DE03D1" w:rsidP="00DE03D1">
      <w:pPr>
        <w:rPr>
          <w:rFonts w:ascii="Ping LCG Regular" w:hAnsi="Ping LCG Regular"/>
          <w:b/>
          <w:sz w:val="20"/>
          <w:szCs w:val="20"/>
          <w:lang w:val="el-GR"/>
        </w:rPr>
      </w:pPr>
    </w:p>
    <w:p w14:paraId="2CF42AA3" w14:textId="77777777" w:rsidR="00DE03D1" w:rsidRDefault="00DE03D1" w:rsidP="00DE03D1">
      <w:pPr>
        <w:rPr>
          <w:rFonts w:ascii="Ping LCG Regular" w:hAnsi="Ping LCG Regular"/>
          <w:b/>
          <w:sz w:val="20"/>
          <w:szCs w:val="20"/>
          <w:lang w:val="el-GR"/>
        </w:rPr>
      </w:pPr>
    </w:p>
    <w:p w14:paraId="2E147114" w14:textId="77777777" w:rsidR="00DE03D1" w:rsidRDefault="00DE03D1" w:rsidP="00DE03D1">
      <w:pPr>
        <w:rPr>
          <w:rFonts w:ascii="Ping LCG Regular" w:hAnsi="Ping LCG Regular"/>
          <w:b/>
          <w:sz w:val="20"/>
          <w:szCs w:val="20"/>
          <w:lang w:val="el-GR"/>
        </w:rPr>
      </w:pPr>
    </w:p>
    <w:p w14:paraId="6142D924" w14:textId="77777777" w:rsidR="00DE03D1" w:rsidRDefault="00DE03D1" w:rsidP="00DE03D1">
      <w:pPr>
        <w:rPr>
          <w:rFonts w:ascii="Ping LCG Regular" w:hAnsi="Ping LCG Regular"/>
          <w:b/>
          <w:sz w:val="20"/>
          <w:szCs w:val="20"/>
          <w:lang w:val="el-GR"/>
        </w:rPr>
      </w:pPr>
    </w:p>
    <w:p w14:paraId="5C9121DA" w14:textId="77777777" w:rsidR="00DE03D1" w:rsidRDefault="00DE03D1" w:rsidP="00DE03D1">
      <w:pPr>
        <w:rPr>
          <w:rFonts w:ascii="Ping LCG Regular" w:hAnsi="Ping LCG Regular"/>
          <w:b/>
          <w:sz w:val="20"/>
          <w:szCs w:val="20"/>
          <w:lang w:val="el-GR"/>
        </w:rPr>
      </w:pPr>
    </w:p>
    <w:p w14:paraId="46CC97FD" w14:textId="77777777" w:rsidR="00DE03D1" w:rsidRDefault="00DE03D1" w:rsidP="00DE03D1">
      <w:pPr>
        <w:rPr>
          <w:rFonts w:ascii="Ping LCG Regular" w:hAnsi="Ping LCG Regular"/>
          <w:b/>
          <w:sz w:val="20"/>
          <w:szCs w:val="20"/>
          <w:lang w:val="el-GR"/>
        </w:rPr>
      </w:pPr>
    </w:p>
    <w:p w14:paraId="50B57CE7" w14:textId="4BAEF5CA" w:rsidR="00DE03D1" w:rsidRPr="008D107F" w:rsidRDefault="00DE03D1" w:rsidP="00DE03D1">
      <w:pPr>
        <w:rPr>
          <w:rFonts w:ascii="Ping LCG Regular" w:hAnsi="Ping LCG Regular"/>
          <w:b/>
          <w:sz w:val="20"/>
          <w:szCs w:val="20"/>
          <w:highlight w:val="yellow"/>
          <w:lang w:val="el-GR"/>
        </w:rPr>
      </w:pPr>
      <w:r>
        <w:rPr>
          <w:rFonts w:ascii="Ping LCG Regular" w:hAnsi="Ping LCG Regular"/>
          <w:b/>
          <w:sz w:val="20"/>
          <w:szCs w:val="20"/>
          <w:lang w:val="el-GR"/>
        </w:rPr>
        <w:br w:type="page"/>
      </w:r>
      <w:r w:rsidRPr="00ED454B">
        <w:rPr>
          <w:rFonts w:ascii="Ping LCG Regular" w:hAnsi="Ping LCG Regular"/>
          <w:b/>
          <w:sz w:val="20"/>
          <w:szCs w:val="20"/>
          <w:lang w:val="el-GR"/>
        </w:rPr>
        <w:lastRenderedPageBreak/>
        <w:t>Ενοποιημένη Κατάσταση Αποτελεσμάτων (</w:t>
      </w:r>
      <w:r w:rsidRPr="002E6D57">
        <w:rPr>
          <w:rFonts w:ascii="Ping LCG Regular" w:hAnsi="Ping LCG Regular"/>
          <w:b/>
          <w:sz w:val="20"/>
          <w:szCs w:val="20"/>
          <w:lang w:val="el-GR"/>
        </w:rPr>
        <w:t>Συνοπτική)</w:t>
      </w:r>
    </w:p>
    <w:p w14:paraId="5D85992F" w14:textId="77777777" w:rsidR="00DE03D1" w:rsidRDefault="00DE03D1" w:rsidP="00DE03D1">
      <w:pPr>
        <w:rPr>
          <w:rFonts w:ascii="Ping LCG Regular" w:hAnsi="Ping LCG Regular"/>
          <w:b/>
          <w:sz w:val="20"/>
          <w:szCs w:val="20"/>
          <w:lang w:val="el-GR"/>
        </w:rPr>
      </w:pPr>
    </w:p>
    <w:p w14:paraId="69529629" w14:textId="752A6B8E" w:rsidR="00DE03D1" w:rsidRPr="003D0BA9" w:rsidRDefault="0062326B" w:rsidP="00DE03D1">
      <w:pPr>
        <w:rPr>
          <w:rFonts w:ascii="Ping LCG Regular" w:hAnsi="Ping LCG Regular"/>
          <w:b/>
          <w:sz w:val="20"/>
          <w:szCs w:val="20"/>
          <w:lang w:val="el-GR"/>
        </w:rPr>
      </w:pPr>
      <w:r w:rsidRPr="0062326B">
        <w:rPr>
          <w:noProof/>
        </w:rPr>
        <w:drawing>
          <wp:inline distT="0" distB="0" distL="0" distR="0" wp14:anchorId="08A1C151" wp14:editId="4A933B59">
            <wp:extent cx="5278120" cy="4664710"/>
            <wp:effectExtent l="0" t="0" r="0" b="2540"/>
            <wp:docPr id="1082206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8120" cy="4664710"/>
                    </a:xfrm>
                    <a:prstGeom prst="rect">
                      <a:avLst/>
                    </a:prstGeom>
                    <a:noFill/>
                    <a:ln>
                      <a:noFill/>
                    </a:ln>
                  </pic:spPr>
                </pic:pic>
              </a:graphicData>
            </a:graphic>
          </wp:inline>
        </w:drawing>
      </w:r>
    </w:p>
    <w:p w14:paraId="6997F122" w14:textId="19C6B3A7" w:rsidR="00B26738" w:rsidRPr="003D0BA9" w:rsidRDefault="00B26738" w:rsidP="00DE03D1">
      <w:pPr>
        <w:rPr>
          <w:rFonts w:ascii="Ping LCG Regular" w:hAnsi="Ping LCG Regular"/>
          <w:b/>
          <w:sz w:val="20"/>
          <w:szCs w:val="20"/>
          <w:lang w:val="el-GR"/>
        </w:rPr>
      </w:pPr>
    </w:p>
    <w:p w14:paraId="205786ED" w14:textId="755639C1" w:rsidR="00DE03D1" w:rsidRPr="003D0BA9" w:rsidRDefault="00DE03D1" w:rsidP="00DE03D1">
      <w:pPr>
        <w:jc w:val="both"/>
        <w:rPr>
          <w:rFonts w:ascii="Ping LCG Regular" w:hAnsi="Ping LCG Regular"/>
          <w:b/>
          <w:sz w:val="20"/>
          <w:szCs w:val="20"/>
          <w:lang w:val="el-GR"/>
        </w:rPr>
      </w:pPr>
    </w:p>
    <w:p w14:paraId="58DFF861" w14:textId="77777777" w:rsidR="00DE03D1" w:rsidRDefault="00DE03D1" w:rsidP="00DE03D1">
      <w:pPr>
        <w:jc w:val="both"/>
        <w:rPr>
          <w:rFonts w:ascii="Ping LCG Regular" w:hAnsi="Ping LCG Regular"/>
          <w:b/>
          <w:sz w:val="20"/>
          <w:szCs w:val="20"/>
          <w:lang w:val="el-GR"/>
        </w:rPr>
      </w:pPr>
    </w:p>
    <w:p w14:paraId="2348899E" w14:textId="77777777" w:rsidR="00DE03D1" w:rsidRDefault="00DE03D1" w:rsidP="00DE03D1">
      <w:pPr>
        <w:jc w:val="both"/>
        <w:rPr>
          <w:rFonts w:ascii="Ping LCG Regular" w:hAnsi="Ping LCG Regular"/>
          <w:b/>
          <w:sz w:val="20"/>
          <w:szCs w:val="20"/>
          <w:lang w:val="el-GR"/>
        </w:rPr>
      </w:pPr>
    </w:p>
    <w:p w14:paraId="30D426D9" w14:textId="77777777" w:rsidR="00DE03D1" w:rsidRDefault="00DE03D1" w:rsidP="00DE03D1">
      <w:pPr>
        <w:jc w:val="both"/>
        <w:rPr>
          <w:rFonts w:ascii="Ping LCG Regular" w:hAnsi="Ping LCG Regular"/>
          <w:b/>
          <w:sz w:val="20"/>
          <w:szCs w:val="20"/>
          <w:lang w:val="el-GR"/>
        </w:rPr>
      </w:pPr>
    </w:p>
    <w:p w14:paraId="55E3325D" w14:textId="77777777" w:rsidR="00DE03D1" w:rsidRDefault="00DE03D1" w:rsidP="00DE03D1">
      <w:pPr>
        <w:jc w:val="both"/>
        <w:rPr>
          <w:rFonts w:ascii="Ping LCG Regular" w:hAnsi="Ping LCG Regular"/>
          <w:b/>
          <w:sz w:val="20"/>
          <w:szCs w:val="20"/>
          <w:lang w:val="el-GR"/>
        </w:rPr>
      </w:pPr>
    </w:p>
    <w:p w14:paraId="08100A55" w14:textId="77777777" w:rsidR="00DE03D1" w:rsidRDefault="00DE03D1" w:rsidP="00DE03D1">
      <w:pPr>
        <w:jc w:val="both"/>
        <w:rPr>
          <w:rFonts w:ascii="Ping LCG Regular" w:hAnsi="Ping LCG Regular"/>
          <w:b/>
          <w:sz w:val="20"/>
          <w:szCs w:val="20"/>
          <w:lang w:val="el-GR"/>
        </w:rPr>
      </w:pPr>
    </w:p>
    <w:p w14:paraId="6A690B9C" w14:textId="77777777" w:rsidR="00DE03D1" w:rsidRDefault="00DE03D1" w:rsidP="00DE03D1">
      <w:pPr>
        <w:jc w:val="both"/>
        <w:rPr>
          <w:rFonts w:ascii="Ping LCG Regular" w:hAnsi="Ping LCG Regular"/>
          <w:b/>
          <w:sz w:val="20"/>
          <w:szCs w:val="20"/>
          <w:lang w:val="el-GR"/>
        </w:rPr>
      </w:pPr>
    </w:p>
    <w:p w14:paraId="5AEF4A5E" w14:textId="77777777" w:rsidR="00DE03D1" w:rsidRDefault="00DE03D1" w:rsidP="00DE03D1">
      <w:pPr>
        <w:jc w:val="both"/>
        <w:rPr>
          <w:rFonts w:ascii="Ping LCG Regular" w:hAnsi="Ping LCG Regular"/>
          <w:b/>
          <w:sz w:val="20"/>
          <w:szCs w:val="20"/>
          <w:lang w:val="el-GR"/>
        </w:rPr>
      </w:pPr>
    </w:p>
    <w:p w14:paraId="2904EB2A" w14:textId="77777777" w:rsidR="00DE03D1" w:rsidRDefault="00DE03D1" w:rsidP="00DE03D1">
      <w:pPr>
        <w:jc w:val="both"/>
        <w:rPr>
          <w:rFonts w:ascii="Ping LCG Regular" w:hAnsi="Ping LCG Regular"/>
          <w:b/>
          <w:sz w:val="20"/>
          <w:szCs w:val="20"/>
          <w:lang w:val="el-GR"/>
        </w:rPr>
      </w:pPr>
    </w:p>
    <w:p w14:paraId="3CBE7D21" w14:textId="77777777" w:rsidR="00DE03D1" w:rsidRDefault="00DE03D1" w:rsidP="00DE03D1">
      <w:pPr>
        <w:jc w:val="both"/>
        <w:rPr>
          <w:rFonts w:ascii="Ping LCG Regular" w:hAnsi="Ping LCG Regular"/>
          <w:b/>
          <w:sz w:val="20"/>
          <w:szCs w:val="20"/>
          <w:lang w:val="el-GR"/>
        </w:rPr>
      </w:pPr>
    </w:p>
    <w:p w14:paraId="72D330C7" w14:textId="77777777" w:rsidR="00DE03D1" w:rsidRDefault="00DE03D1" w:rsidP="00DE03D1">
      <w:pPr>
        <w:jc w:val="both"/>
        <w:rPr>
          <w:rFonts w:ascii="Ping LCG Regular" w:hAnsi="Ping LCG Regular"/>
          <w:b/>
          <w:sz w:val="20"/>
          <w:szCs w:val="20"/>
          <w:lang w:val="el-GR"/>
        </w:rPr>
      </w:pPr>
    </w:p>
    <w:p w14:paraId="2B0341AC" w14:textId="77777777" w:rsidR="00DE03D1" w:rsidRDefault="00DE03D1" w:rsidP="00DE03D1">
      <w:pPr>
        <w:jc w:val="both"/>
        <w:rPr>
          <w:rFonts w:ascii="Ping LCG Regular" w:hAnsi="Ping LCG Regular"/>
          <w:b/>
          <w:sz w:val="20"/>
          <w:szCs w:val="20"/>
          <w:lang w:val="el-GR"/>
        </w:rPr>
      </w:pPr>
    </w:p>
    <w:p w14:paraId="36FB353B" w14:textId="77777777" w:rsidR="00DE03D1" w:rsidRDefault="00DE03D1" w:rsidP="00DE03D1">
      <w:pPr>
        <w:jc w:val="both"/>
        <w:rPr>
          <w:rFonts w:ascii="Ping LCG Regular" w:hAnsi="Ping LCG Regular"/>
          <w:b/>
          <w:sz w:val="20"/>
          <w:szCs w:val="20"/>
          <w:lang w:val="el-GR"/>
        </w:rPr>
      </w:pPr>
    </w:p>
    <w:p w14:paraId="5E35F8CA" w14:textId="77777777" w:rsidR="00DE03D1" w:rsidRDefault="00DE03D1" w:rsidP="00DE03D1">
      <w:pPr>
        <w:jc w:val="both"/>
        <w:rPr>
          <w:rFonts w:ascii="Ping LCG Regular" w:hAnsi="Ping LCG Regular"/>
          <w:b/>
          <w:sz w:val="20"/>
          <w:szCs w:val="20"/>
          <w:lang w:val="el-GR"/>
        </w:rPr>
      </w:pPr>
    </w:p>
    <w:p w14:paraId="57964DD9" w14:textId="77777777" w:rsidR="00DE03D1" w:rsidRDefault="00DE03D1" w:rsidP="00DE03D1">
      <w:pPr>
        <w:jc w:val="both"/>
        <w:rPr>
          <w:rFonts w:ascii="Ping LCG Regular" w:hAnsi="Ping LCG Regular"/>
          <w:b/>
          <w:sz w:val="20"/>
          <w:szCs w:val="20"/>
          <w:lang w:val="el-GR"/>
        </w:rPr>
      </w:pPr>
    </w:p>
    <w:p w14:paraId="3C357053" w14:textId="77777777" w:rsidR="00DE03D1" w:rsidRDefault="00DE03D1" w:rsidP="00DE03D1">
      <w:pPr>
        <w:jc w:val="both"/>
        <w:rPr>
          <w:rFonts w:ascii="Ping LCG Regular" w:hAnsi="Ping LCG Regular"/>
          <w:b/>
          <w:sz w:val="20"/>
          <w:szCs w:val="20"/>
          <w:lang w:val="el-GR"/>
        </w:rPr>
      </w:pPr>
    </w:p>
    <w:p w14:paraId="6922E89B" w14:textId="77777777" w:rsidR="00DE03D1" w:rsidRDefault="00DE03D1" w:rsidP="00DE03D1">
      <w:pPr>
        <w:jc w:val="both"/>
        <w:rPr>
          <w:rFonts w:ascii="Ping LCG Regular" w:hAnsi="Ping LCG Regular"/>
          <w:b/>
          <w:sz w:val="20"/>
          <w:szCs w:val="20"/>
          <w:lang w:val="el-GR"/>
        </w:rPr>
      </w:pPr>
    </w:p>
    <w:p w14:paraId="7B4274F2" w14:textId="77777777" w:rsidR="00DE03D1" w:rsidRDefault="00DE03D1" w:rsidP="00DE03D1">
      <w:pPr>
        <w:jc w:val="both"/>
        <w:rPr>
          <w:rFonts w:ascii="Ping LCG Regular" w:hAnsi="Ping LCG Regular"/>
          <w:b/>
          <w:sz w:val="20"/>
          <w:szCs w:val="20"/>
          <w:lang w:val="el-GR"/>
        </w:rPr>
      </w:pPr>
    </w:p>
    <w:p w14:paraId="3F8D64AC" w14:textId="77777777" w:rsidR="00DE03D1" w:rsidRDefault="00DE03D1" w:rsidP="00DE03D1">
      <w:pPr>
        <w:jc w:val="both"/>
        <w:rPr>
          <w:rFonts w:ascii="Ping LCG Regular" w:hAnsi="Ping LCG Regular"/>
          <w:b/>
          <w:sz w:val="20"/>
          <w:szCs w:val="20"/>
          <w:lang w:val="el-GR"/>
        </w:rPr>
      </w:pPr>
    </w:p>
    <w:p w14:paraId="2E5BDE98" w14:textId="77777777" w:rsidR="00DE03D1" w:rsidRDefault="00DE03D1" w:rsidP="00DE03D1">
      <w:pPr>
        <w:jc w:val="both"/>
        <w:rPr>
          <w:rFonts w:ascii="Ping LCG Regular" w:hAnsi="Ping LCG Regular"/>
          <w:b/>
          <w:sz w:val="20"/>
          <w:szCs w:val="20"/>
          <w:lang w:val="el-GR"/>
        </w:rPr>
      </w:pPr>
    </w:p>
    <w:p w14:paraId="1CCFFE6C" w14:textId="1BC108BA" w:rsidR="00DE03D1" w:rsidRDefault="00DE03D1" w:rsidP="00DE03D1">
      <w:pPr>
        <w:rPr>
          <w:rFonts w:ascii="Ping LCG Regular" w:hAnsi="Ping LCG Regular"/>
          <w:b/>
          <w:sz w:val="20"/>
          <w:szCs w:val="20"/>
          <w:lang w:val="el-GR"/>
        </w:rPr>
      </w:pPr>
    </w:p>
    <w:p w14:paraId="72603273" w14:textId="4E1A79B8" w:rsidR="00DE03D1" w:rsidRPr="003C4839" w:rsidRDefault="00AB307D" w:rsidP="000A02F1">
      <w:pPr>
        <w:rPr>
          <w:rFonts w:ascii="Ping LCG Regular" w:hAnsi="Ping LCG Regular"/>
          <w:b/>
          <w:sz w:val="20"/>
          <w:szCs w:val="20"/>
          <w:lang w:val="el-GR"/>
        </w:rPr>
      </w:pPr>
      <w:r>
        <w:rPr>
          <w:rFonts w:ascii="Ping LCG Regular" w:hAnsi="Ping LCG Regular"/>
          <w:b/>
          <w:sz w:val="20"/>
          <w:szCs w:val="20"/>
          <w:lang w:val="el-GR"/>
        </w:rPr>
        <w:br w:type="page"/>
      </w:r>
      <w:r w:rsidR="00DE03D1" w:rsidRPr="00107D17">
        <w:rPr>
          <w:rFonts w:ascii="Ping LCG Regular" w:hAnsi="Ping LCG Regular"/>
          <w:b/>
          <w:sz w:val="20"/>
          <w:szCs w:val="20"/>
          <w:lang w:val="el-GR"/>
        </w:rPr>
        <w:lastRenderedPageBreak/>
        <w:t>Ενοποιημένη κατάσταση ταμιακών ροών (Συνοπτική)</w:t>
      </w:r>
    </w:p>
    <w:p w14:paraId="6F7C4EF9" w14:textId="6D0CEC8A" w:rsidR="00DE03D1" w:rsidRPr="00107D17" w:rsidRDefault="00DE03D1" w:rsidP="00DE03D1">
      <w:pPr>
        <w:jc w:val="both"/>
        <w:rPr>
          <w:rFonts w:ascii="Ping LCG Regular" w:hAnsi="Ping LCG Regular"/>
          <w:b/>
          <w:sz w:val="20"/>
          <w:szCs w:val="20"/>
          <w:lang w:val="el-GR"/>
        </w:rPr>
      </w:pPr>
    </w:p>
    <w:p w14:paraId="0EEEA790" w14:textId="6115C8FB" w:rsidR="00DE03D1" w:rsidRPr="00107D17" w:rsidRDefault="0087793F" w:rsidP="00DE03D1">
      <w:pPr>
        <w:jc w:val="both"/>
        <w:rPr>
          <w:rFonts w:ascii="Ping LCG Regular" w:hAnsi="Ping LCG Regular"/>
          <w:b/>
          <w:sz w:val="20"/>
          <w:szCs w:val="20"/>
        </w:rPr>
      </w:pPr>
      <w:r w:rsidRPr="0087793F">
        <w:rPr>
          <w:noProof/>
        </w:rPr>
        <w:drawing>
          <wp:inline distT="0" distB="0" distL="0" distR="0" wp14:anchorId="4EC9E3F3" wp14:editId="3466234A">
            <wp:extent cx="5594350" cy="6402070"/>
            <wp:effectExtent l="0" t="0" r="6350" b="0"/>
            <wp:docPr id="8826599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4350" cy="6402070"/>
                    </a:xfrm>
                    <a:prstGeom prst="rect">
                      <a:avLst/>
                    </a:prstGeom>
                    <a:noFill/>
                    <a:ln>
                      <a:noFill/>
                    </a:ln>
                  </pic:spPr>
                </pic:pic>
              </a:graphicData>
            </a:graphic>
          </wp:inline>
        </w:drawing>
      </w:r>
    </w:p>
    <w:p w14:paraId="749EF196" w14:textId="77777777" w:rsidR="00DE03D1" w:rsidRPr="005C1623" w:rsidRDefault="00DE03D1" w:rsidP="00DE03D1">
      <w:pPr>
        <w:rPr>
          <w:rFonts w:ascii="Ping LCG Regular" w:eastAsia="Calibri" w:hAnsi="Ping LCG Regular" w:cs="Arial"/>
          <w:b/>
          <w:color w:val="000000"/>
          <w:sz w:val="20"/>
          <w:szCs w:val="20"/>
          <w:highlight w:val="yellow"/>
          <w:lang w:val="el-GR"/>
        </w:rPr>
      </w:pPr>
    </w:p>
    <w:p w14:paraId="10A70321" w14:textId="3A5A31F7" w:rsidR="00DE03D1" w:rsidRPr="00B460E7" w:rsidRDefault="000C0625" w:rsidP="00DE03D1">
      <w:pPr>
        <w:pStyle w:val="DehPressRelease"/>
        <w:jc w:val="both"/>
        <w:rPr>
          <w:highlight w:val="yellow"/>
        </w:rPr>
      </w:pPr>
      <w:r>
        <w:rPr>
          <w:highlight w:val="yellow"/>
        </w:rPr>
        <w:t xml:space="preserve"> </w:t>
      </w:r>
      <w:r w:rsidR="00DE03D1" w:rsidRPr="00B460E7">
        <w:rPr>
          <w:highlight w:val="yellow"/>
        </w:rPr>
        <w:t xml:space="preserve"> </w:t>
      </w:r>
    </w:p>
    <w:p w14:paraId="722FB15F" w14:textId="77777777" w:rsidR="00DE03D1" w:rsidRPr="00B460E7" w:rsidRDefault="00DE03D1" w:rsidP="00DE03D1">
      <w:pPr>
        <w:rPr>
          <w:rFonts w:ascii="Ping LCG Regular" w:hAnsi="Ping LCG Regular"/>
          <w:sz w:val="22"/>
          <w:szCs w:val="28"/>
          <w:highlight w:val="yellow"/>
          <w:lang w:val="el-GR"/>
        </w:rPr>
      </w:pPr>
      <w:r w:rsidRPr="00B460E7">
        <w:rPr>
          <w:highlight w:val="yellow"/>
          <w:lang w:val="el-GR"/>
        </w:rPr>
        <w:br w:type="page"/>
      </w:r>
    </w:p>
    <w:p w14:paraId="46ADE1EC" w14:textId="77777777" w:rsidR="00DE03D1" w:rsidRPr="00DE03D1" w:rsidRDefault="00DE03D1" w:rsidP="00DE03D1">
      <w:pPr>
        <w:jc w:val="both"/>
        <w:rPr>
          <w:rFonts w:ascii="Ping LCG Regular" w:hAnsi="Ping LCG Regular" w:cstheme="minorHAnsi"/>
          <w:b/>
          <w:bCs/>
          <w:color w:val="000000"/>
          <w:sz w:val="20"/>
          <w:szCs w:val="20"/>
          <w:lang w:val="el-GR"/>
        </w:rPr>
      </w:pPr>
      <w:r w:rsidRPr="00DE03D1">
        <w:rPr>
          <w:rFonts w:ascii="Ping LCG Regular" w:hAnsi="Ping LCG Regular" w:cstheme="minorHAnsi"/>
          <w:b/>
          <w:bCs/>
          <w:color w:val="000000"/>
          <w:sz w:val="20"/>
          <w:szCs w:val="20"/>
          <w:lang w:val="el-GR"/>
        </w:rPr>
        <w:lastRenderedPageBreak/>
        <w:t>ΠΑΡΑΡΤΗΜΑ II</w:t>
      </w:r>
    </w:p>
    <w:p w14:paraId="17C0E7C3" w14:textId="77777777" w:rsidR="00DE03D1" w:rsidRPr="00C724A6" w:rsidRDefault="00DE03D1" w:rsidP="00DE03D1">
      <w:pPr>
        <w:jc w:val="both"/>
        <w:rPr>
          <w:rFonts w:ascii="Ping LCG Regular" w:hAnsi="Ping LCG Regular" w:cstheme="minorHAnsi"/>
          <w:color w:val="000000"/>
          <w:sz w:val="20"/>
          <w:szCs w:val="20"/>
          <w:lang w:val="el-GR"/>
        </w:rPr>
      </w:pPr>
    </w:p>
    <w:p w14:paraId="00D22260" w14:textId="77777777" w:rsidR="00C724A6" w:rsidRPr="00C724A6" w:rsidRDefault="00C724A6" w:rsidP="002D2BD8">
      <w:pPr>
        <w:autoSpaceDE w:val="0"/>
        <w:autoSpaceDN w:val="0"/>
        <w:adjustRightInd w:val="0"/>
        <w:spacing w:after="160" w:line="259" w:lineRule="auto"/>
        <w:rPr>
          <w:rFonts w:ascii="Ping LCG Regular" w:hAnsi="Ping LCG Regular" w:cstheme="minorHAnsi"/>
          <w:b/>
          <w:color w:val="000000"/>
          <w:sz w:val="20"/>
          <w:szCs w:val="20"/>
          <w:lang w:val="el-GR"/>
        </w:rPr>
      </w:pPr>
      <w:r w:rsidRPr="00C724A6">
        <w:rPr>
          <w:rFonts w:ascii="Ping LCG Regular" w:hAnsi="Ping LCG Regular" w:cstheme="minorHAnsi"/>
          <w:b/>
          <w:color w:val="000000"/>
          <w:sz w:val="20"/>
          <w:szCs w:val="20"/>
          <w:lang w:val="el-GR"/>
        </w:rPr>
        <w:t>Ορισμοί και συμφωνία των Εναλλακτικών Δεικτών Μέτρησης Απόδοσης (“ΕΔΜΑ”)</w:t>
      </w:r>
    </w:p>
    <w:p w14:paraId="7B795944" w14:textId="77777777" w:rsidR="00234AB0" w:rsidRPr="002E2915" w:rsidRDefault="00234AB0" w:rsidP="002D2BD8">
      <w:pPr>
        <w:autoSpaceDE w:val="0"/>
        <w:autoSpaceDN w:val="0"/>
        <w:adjustRightInd w:val="0"/>
        <w:spacing w:after="160" w:line="259" w:lineRule="auto"/>
        <w:rPr>
          <w:rFonts w:ascii="Ping LCG Regular" w:hAnsi="Ping LCG Regular" w:cstheme="minorHAnsi"/>
          <w:b/>
          <w:color w:val="000000"/>
          <w:sz w:val="20"/>
          <w:szCs w:val="20"/>
          <w:lang w:val="el-GR"/>
        </w:rPr>
      </w:pPr>
    </w:p>
    <w:p w14:paraId="187D75F9" w14:textId="77777777" w:rsidR="00C724A6" w:rsidRPr="00C724A6" w:rsidRDefault="00C724A6" w:rsidP="002D2BD8">
      <w:pPr>
        <w:autoSpaceDE w:val="0"/>
        <w:autoSpaceDN w:val="0"/>
        <w:adjustRightInd w:val="0"/>
        <w:spacing w:after="160" w:line="259" w:lineRule="auto"/>
        <w:rPr>
          <w:rFonts w:ascii="Ping LCG Regular" w:hAnsi="Ping LCG Regular" w:cstheme="minorHAnsi"/>
          <w:b/>
          <w:color w:val="000000"/>
          <w:sz w:val="20"/>
          <w:szCs w:val="20"/>
          <w:lang w:val="el-GR"/>
        </w:rPr>
      </w:pPr>
      <w:r w:rsidRPr="00C724A6">
        <w:rPr>
          <w:rFonts w:ascii="Ping LCG Regular" w:hAnsi="Ping LCG Regular" w:cstheme="minorHAnsi"/>
          <w:b/>
          <w:color w:val="000000"/>
          <w:sz w:val="20"/>
          <w:szCs w:val="20"/>
          <w:lang w:val="el-GR"/>
        </w:rPr>
        <w:t xml:space="preserve">ΕΝΑΛΛΑΚΤΙΚΟΙ ΔΕΙΚΤΕΣ ΜΕΤΡΗΣΗΣ ΑΠΟΔΟΣΗΣ (“ΕΔΜΑ”) </w:t>
      </w:r>
    </w:p>
    <w:p w14:paraId="202394AC" w14:textId="77777777" w:rsidR="00C724A6" w:rsidRPr="00C724A6" w:rsidRDefault="00C724A6" w:rsidP="002D2BD8">
      <w:pPr>
        <w:autoSpaceDE w:val="0"/>
        <w:autoSpaceDN w:val="0"/>
        <w:adjustRightInd w:val="0"/>
        <w:spacing w:after="160" w:line="259" w:lineRule="auto"/>
        <w:jc w:val="both"/>
        <w:rPr>
          <w:rFonts w:ascii="Ping LCG Regular" w:hAnsi="Ping LCG Regular" w:cstheme="minorHAnsi"/>
          <w:color w:val="000000"/>
          <w:sz w:val="20"/>
          <w:szCs w:val="20"/>
          <w:lang w:val="el-GR"/>
        </w:rPr>
      </w:pPr>
      <w:r w:rsidRPr="00C724A6">
        <w:rPr>
          <w:rFonts w:ascii="Ping LCG Regular" w:hAnsi="Ping LCG Regular" w:cstheme="minorHAnsi"/>
          <w:color w:val="000000"/>
          <w:sz w:val="20"/>
          <w:szCs w:val="20"/>
          <w:lang w:val="el-GR"/>
        </w:rPr>
        <w:t xml:space="preserve">Ο Όμιλος χρησιμοποιεί Εναλλακτικούς Δείκτες Μέτρησης Απόδοσης (“ΕΔΜΑ”) στα πλαίσια λήψης αποφάσεων σχετικά με τον χρηματοοικονομικό, λειτουργικό και στρατηγικό σχεδιασμό του καθώς και για την αξιολόγηση και την δημοσίευση των επιδόσεών του. Αυτοί οι ΕΔΜΑ εξυπηρετούν στην καλύτερη κατανόηση των χρηματοοικονομικών και λειτουργικών αποτελεσμάτων του Ομίλου, της χρηματοοικονομικής του θέσης καθώς και της κατάστασης ταμειακών ροών. Οι εναλλακτικοί δείκτες (ΕΔΜΑ) θα πρέπει να λαμβάνονται υπόψη πάντα σε συνδυασμό με τα οικονομικά αποτελέσματα που έχουν συνταχθεί σύμφωνα με τα ΔΠΧΑ και σε καμία περίπτωση δεν αντικαθιστούν αυτά. </w:t>
      </w:r>
    </w:p>
    <w:p w14:paraId="100B46D8" w14:textId="77777777" w:rsidR="00C724A6" w:rsidRPr="00C724A6" w:rsidRDefault="00C724A6" w:rsidP="002D2BD8">
      <w:pPr>
        <w:autoSpaceDE w:val="0"/>
        <w:autoSpaceDN w:val="0"/>
        <w:adjustRightInd w:val="0"/>
        <w:spacing w:after="160" w:line="259" w:lineRule="auto"/>
        <w:rPr>
          <w:rFonts w:ascii="Ping LCG Regular" w:hAnsi="Ping LCG Regular" w:cstheme="minorHAnsi"/>
          <w:b/>
          <w:color w:val="000000"/>
          <w:sz w:val="20"/>
          <w:szCs w:val="20"/>
          <w:lang w:val="el-GR"/>
        </w:rPr>
      </w:pPr>
      <w:r w:rsidRPr="00C724A6">
        <w:rPr>
          <w:rFonts w:ascii="Ping LCG Regular" w:hAnsi="Ping LCG Regular" w:cstheme="minorHAnsi"/>
          <w:b/>
          <w:color w:val="000000"/>
          <w:sz w:val="20"/>
          <w:szCs w:val="20"/>
          <w:lang w:val="el-GR"/>
        </w:rPr>
        <w:t xml:space="preserve">Εναλλακτικοί Δείκτες Μέτρησης Απόδοσης (“ΕΔΜΑ”) </w:t>
      </w:r>
    </w:p>
    <w:p w14:paraId="1BA978B7" w14:textId="4DFD7A19" w:rsidR="00C724A6" w:rsidRPr="00C724A6" w:rsidRDefault="00C724A6" w:rsidP="002D2BD8">
      <w:pPr>
        <w:autoSpaceDE w:val="0"/>
        <w:autoSpaceDN w:val="0"/>
        <w:adjustRightInd w:val="0"/>
        <w:spacing w:after="160" w:line="259" w:lineRule="auto"/>
        <w:jc w:val="both"/>
        <w:rPr>
          <w:rFonts w:ascii="Ping LCG Regular" w:hAnsi="Ping LCG Regular" w:cstheme="minorHAnsi"/>
          <w:color w:val="000000"/>
          <w:sz w:val="20"/>
          <w:szCs w:val="20"/>
          <w:lang w:val="el-GR"/>
        </w:rPr>
      </w:pPr>
      <w:r w:rsidRPr="00C724A6">
        <w:rPr>
          <w:rFonts w:ascii="Ping LCG Regular" w:hAnsi="Ping LCG Regular" w:cstheme="minorHAnsi"/>
          <w:color w:val="000000"/>
          <w:sz w:val="20"/>
          <w:szCs w:val="20"/>
          <w:lang w:val="el-GR"/>
        </w:rPr>
        <w:t xml:space="preserve">Κατά την περιγραφή των επιδόσεων του Ομίλου χρησιμοποιούνται “Προσαρμοσμένοι” δείκτες όπως: Προσαρμοσμένο </w:t>
      </w:r>
      <w:r w:rsidRPr="00C724A6">
        <w:rPr>
          <w:rFonts w:ascii="Ping LCG Regular" w:hAnsi="Ping LCG Regular" w:cstheme="minorHAnsi"/>
          <w:color w:val="000000"/>
          <w:sz w:val="20"/>
          <w:szCs w:val="20"/>
        </w:rPr>
        <w:t>EBITDA</w:t>
      </w:r>
      <w:r w:rsidRPr="00C724A6">
        <w:rPr>
          <w:rFonts w:ascii="Ping LCG Regular" w:hAnsi="Ping LCG Regular" w:cstheme="minorHAnsi"/>
          <w:color w:val="000000"/>
          <w:sz w:val="20"/>
          <w:szCs w:val="20"/>
          <w:lang w:val="el-GR"/>
        </w:rPr>
        <w:t xml:space="preserve"> χωρίς Ειδικές προσαρμογές, Λειτουργικές Δαπάνες προ αποσβέσεων και </w:t>
      </w:r>
      <w:proofErr w:type="spellStart"/>
      <w:r w:rsidRPr="00C724A6">
        <w:rPr>
          <w:rFonts w:ascii="Ping LCG Regular" w:hAnsi="Ping LCG Regular" w:cstheme="minorHAnsi"/>
          <w:color w:val="000000"/>
          <w:sz w:val="20"/>
          <w:szCs w:val="20"/>
          <w:lang w:val="el-GR"/>
        </w:rPr>
        <w:t>απομειώσεων</w:t>
      </w:r>
      <w:proofErr w:type="spellEnd"/>
      <w:r w:rsidRPr="00C724A6">
        <w:rPr>
          <w:rFonts w:ascii="Ping LCG Regular" w:hAnsi="Ping LCG Regular" w:cstheme="minorHAnsi"/>
          <w:color w:val="000000"/>
          <w:sz w:val="20"/>
          <w:szCs w:val="20"/>
          <w:lang w:val="el-GR"/>
        </w:rPr>
        <w:t xml:space="preserve">, συνολικών καθαρών χρηματοοικονομικών δαπανών και κερδών/(ζημιών) από συγγενείς εταιρείες  χωρίς Ειδικές προσαρμογές, </w:t>
      </w:r>
      <w:r w:rsidR="00FF30A7">
        <w:rPr>
          <w:rFonts w:ascii="Ping LCG Regular" w:hAnsi="Ping LCG Regular" w:cstheme="minorHAnsi"/>
          <w:color w:val="000000"/>
          <w:sz w:val="20"/>
          <w:szCs w:val="20"/>
          <w:lang w:val="el-GR"/>
        </w:rPr>
        <w:t xml:space="preserve">Προσαρμοσμένα </w:t>
      </w:r>
      <w:r w:rsidRPr="00C724A6">
        <w:rPr>
          <w:rFonts w:ascii="Ping LCG Regular" w:hAnsi="Ping LCG Regular" w:cstheme="minorHAnsi"/>
          <w:color w:val="000000"/>
          <w:sz w:val="20"/>
          <w:szCs w:val="20"/>
          <w:lang w:val="el-GR"/>
        </w:rPr>
        <w:t>Καθαρά Κέρδη / (Ζημίες) χωρίς Ειδικές προσαρμογές και Προσαρμοσμένα Καθαρά Κέρδη/(Ζημίες) μετά από Δικαιώματα Μειοψηφίας. Οι δείκτες αυτοί υπολογίζονται αφαιρώντας από τους οικονομικούς δείκτες, οι οποίοι έχουν υπολογιστεί από κονδύλια των ετήσιων ή ενδιάμεσων οικονομικών καταστάσεων, την επίδραση και τα κόστη που προκύπτουν από γεγονότα τα οποία συνέβησαν κατά την εκάστοτε  περίοδο αναφοράς και τα οποία δεν έχουν επηρεάσει τα ποσά των προηγούμενων περιόδων.</w:t>
      </w:r>
    </w:p>
    <w:p w14:paraId="4F88D511" w14:textId="77777777" w:rsidR="00C724A6" w:rsidRPr="00C724A6" w:rsidRDefault="00C724A6" w:rsidP="002D2BD8">
      <w:pPr>
        <w:autoSpaceDE w:val="0"/>
        <w:autoSpaceDN w:val="0"/>
        <w:adjustRightInd w:val="0"/>
        <w:spacing w:after="160" w:line="259" w:lineRule="auto"/>
        <w:rPr>
          <w:rFonts w:ascii="Ping LCG Regular" w:hAnsi="Ping LCG Regular" w:cstheme="minorHAnsi"/>
          <w:b/>
          <w:color w:val="000000"/>
          <w:sz w:val="20"/>
          <w:szCs w:val="20"/>
          <w:lang w:val="el-GR"/>
        </w:rPr>
      </w:pPr>
      <w:r w:rsidRPr="00C724A6">
        <w:rPr>
          <w:rFonts w:ascii="Ping LCG Regular" w:hAnsi="Ping LCG Regular" w:cstheme="minorHAnsi"/>
          <w:b/>
          <w:color w:val="000000"/>
          <w:sz w:val="20"/>
          <w:szCs w:val="20"/>
        </w:rPr>
        <w:t>EBITDA</w:t>
      </w:r>
      <w:r w:rsidRPr="00C724A6">
        <w:rPr>
          <w:rFonts w:ascii="Ping LCG Regular" w:hAnsi="Ping LCG Regular" w:cstheme="minorHAnsi"/>
          <w:b/>
          <w:color w:val="000000"/>
          <w:sz w:val="20"/>
          <w:szCs w:val="20"/>
          <w:lang w:val="el-GR"/>
        </w:rPr>
        <w:t xml:space="preserve"> (Δείκτης λειτουργικών κερδών πριν από αποσβέσεις και </w:t>
      </w:r>
      <w:proofErr w:type="spellStart"/>
      <w:r w:rsidRPr="00C724A6">
        <w:rPr>
          <w:rFonts w:ascii="Ping LCG Regular" w:hAnsi="Ping LCG Regular" w:cstheme="minorHAnsi"/>
          <w:b/>
          <w:color w:val="000000"/>
          <w:sz w:val="20"/>
          <w:szCs w:val="20"/>
          <w:lang w:val="el-GR"/>
        </w:rPr>
        <w:t>απομειώσεις</w:t>
      </w:r>
      <w:proofErr w:type="spellEnd"/>
      <w:r w:rsidRPr="00C724A6">
        <w:rPr>
          <w:rFonts w:ascii="Ping LCG Regular" w:hAnsi="Ping LCG Regular" w:cstheme="minorHAnsi"/>
          <w:b/>
          <w:color w:val="000000"/>
          <w:sz w:val="20"/>
          <w:szCs w:val="20"/>
          <w:lang w:val="el-GR"/>
        </w:rPr>
        <w:t xml:space="preserve">, καθαρές χρηματοοικονομικές δαπάνες </w:t>
      </w:r>
      <w:proofErr w:type="gramStart"/>
      <w:r w:rsidRPr="00C724A6">
        <w:rPr>
          <w:rFonts w:ascii="Ping LCG Regular" w:hAnsi="Ping LCG Regular" w:cstheme="minorHAnsi"/>
          <w:b/>
          <w:color w:val="000000"/>
          <w:sz w:val="20"/>
          <w:szCs w:val="20"/>
          <w:lang w:val="el-GR"/>
        </w:rPr>
        <w:t>και  φόρους</w:t>
      </w:r>
      <w:proofErr w:type="gramEnd"/>
      <w:r w:rsidRPr="00C724A6">
        <w:rPr>
          <w:rFonts w:ascii="Ping LCG Regular" w:hAnsi="Ping LCG Regular" w:cstheme="minorHAnsi"/>
          <w:b/>
          <w:color w:val="000000"/>
          <w:sz w:val="20"/>
          <w:szCs w:val="20"/>
          <w:lang w:val="el-GR"/>
        </w:rPr>
        <w:t xml:space="preserve">) </w:t>
      </w:r>
    </w:p>
    <w:p w14:paraId="4F62C16F" w14:textId="77777777" w:rsidR="00C724A6" w:rsidRPr="00C724A6" w:rsidRDefault="00C724A6" w:rsidP="002D2BD8">
      <w:pPr>
        <w:autoSpaceDE w:val="0"/>
        <w:autoSpaceDN w:val="0"/>
        <w:adjustRightInd w:val="0"/>
        <w:spacing w:after="160" w:line="259" w:lineRule="auto"/>
        <w:jc w:val="both"/>
        <w:rPr>
          <w:rFonts w:ascii="Ping LCG Regular" w:hAnsi="Ping LCG Regular" w:cstheme="minorHAnsi"/>
          <w:color w:val="000000"/>
          <w:sz w:val="20"/>
          <w:szCs w:val="20"/>
          <w:lang w:val="el-GR"/>
        </w:rPr>
      </w:pPr>
      <w:r w:rsidRPr="00C724A6">
        <w:rPr>
          <w:rFonts w:ascii="Ping LCG Regular" w:hAnsi="Ping LCG Regular" w:cstheme="minorHAnsi"/>
          <w:color w:val="000000"/>
          <w:sz w:val="20"/>
          <w:szCs w:val="20"/>
          <w:lang w:val="el-GR"/>
        </w:rPr>
        <w:t xml:space="preserve">Ο δείκτης </w:t>
      </w:r>
      <w:r w:rsidRPr="00C724A6">
        <w:rPr>
          <w:rFonts w:ascii="Ping LCG Regular" w:hAnsi="Ping LCG Regular" w:cstheme="minorHAnsi"/>
          <w:color w:val="000000"/>
          <w:sz w:val="20"/>
          <w:szCs w:val="20"/>
        </w:rPr>
        <w:t>EBITDA</w:t>
      </w:r>
      <w:r w:rsidRPr="00C724A6">
        <w:rPr>
          <w:rFonts w:ascii="Ping LCG Regular" w:hAnsi="Ping LCG Regular" w:cstheme="minorHAnsi"/>
          <w:color w:val="000000"/>
          <w:sz w:val="20"/>
          <w:szCs w:val="20"/>
          <w:lang w:val="el-GR"/>
        </w:rPr>
        <w:t xml:space="preserve"> εξυπηρετεί στην καλύτερη ανάλυση των λειτουργικών αποτελεσμάτων του Ομίλου και υπολογίζεται ως εξής: Σύνολο κύκλου εργασιών μείον το σύνολο των λειτουργικών εξόδων πριν από αποσβέσεις και </w:t>
      </w:r>
      <w:proofErr w:type="spellStart"/>
      <w:r w:rsidRPr="00C724A6">
        <w:rPr>
          <w:rFonts w:ascii="Ping LCG Regular" w:hAnsi="Ping LCG Regular" w:cstheme="minorHAnsi"/>
          <w:color w:val="000000"/>
          <w:sz w:val="20"/>
          <w:szCs w:val="20"/>
          <w:lang w:val="el-GR"/>
        </w:rPr>
        <w:t>απομειώσεις</w:t>
      </w:r>
      <w:proofErr w:type="spellEnd"/>
      <w:r w:rsidRPr="00C724A6">
        <w:rPr>
          <w:rFonts w:ascii="Ping LCG Regular" w:hAnsi="Ping LCG Regular" w:cstheme="minorHAnsi"/>
          <w:color w:val="000000"/>
          <w:sz w:val="20"/>
          <w:szCs w:val="20"/>
          <w:lang w:val="el-GR"/>
        </w:rPr>
        <w:t>. Οι υπολογισμοί παρουσιάζονται στον Πίνακα Α.</w:t>
      </w:r>
    </w:p>
    <w:p w14:paraId="1AA38FCD" w14:textId="77777777" w:rsidR="00C724A6" w:rsidRPr="00C724A6" w:rsidRDefault="00C724A6" w:rsidP="002D2BD8">
      <w:pPr>
        <w:autoSpaceDE w:val="0"/>
        <w:autoSpaceDN w:val="0"/>
        <w:adjustRightInd w:val="0"/>
        <w:spacing w:after="160" w:line="259" w:lineRule="auto"/>
        <w:rPr>
          <w:rFonts w:ascii="Ping LCG Regular" w:hAnsi="Ping LCG Regular" w:cstheme="minorHAnsi"/>
          <w:b/>
          <w:color w:val="000000"/>
          <w:sz w:val="20"/>
          <w:szCs w:val="20"/>
          <w:lang w:val="el-GR"/>
        </w:rPr>
      </w:pPr>
      <w:r w:rsidRPr="00C724A6">
        <w:rPr>
          <w:rFonts w:ascii="Ping LCG Regular" w:hAnsi="Ping LCG Regular" w:cstheme="minorHAnsi"/>
          <w:b/>
          <w:color w:val="000000"/>
          <w:sz w:val="20"/>
          <w:szCs w:val="20"/>
          <w:lang w:val="el-GR"/>
        </w:rPr>
        <w:t xml:space="preserve">Λειτουργικές Δαπάνες προ αποσβέσεων και </w:t>
      </w:r>
      <w:proofErr w:type="spellStart"/>
      <w:r w:rsidRPr="00C724A6">
        <w:rPr>
          <w:rFonts w:ascii="Ping LCG Regular" w:hAnsi="Ping LCG Regular" w:cstheme="minorHAnsi"/>
          <w:b/>
          <w:color w:val="000000"/>
          <w:sz w:val="20"/>
          <w:szCs w:val="20"/>
          <w:lang w:val="el-GR"/>
        </w:rPr>
        <w:t>απομειώσεων</w:t>
      </w:r>
      <w:proofErr w:type="spellEnd"/>
      <w:r w:rsidRPr="00C724A6">
        <w:rPr>
          <w:rFonts w:ascii="Ping LCG Regular" w:hAnsi="Ping LCG Regular" w:cstheme="minorHAnsi"/>
          <w:b/>
          <w:color w:val="000000"/>
          <w:sz w:val="20"/>
          <w:szCs w:val="20"/>
          <w:lang w:val="el-GR"/>
        </w:rPr>
        <w:t>, συνολικών καθαρών χρηματοοικονομικών δαπανών και κερδών/(ζημιών) από συγγενείς εταιρείες  χωρίς Ειδικές προσαρμογές</w:t>
      </w:r>
    </w:p>
    <w:p w14:paraId="0FD06219" w14:textId="77777777" w:rsidR="00C724A6" w:rsidRPr="00C724A6" w:rsidRDefault="00C724A6" w:rsidP="002D2BD8">
      <w:pPr>
        <w:autoSpaceDE w:val="0"/>
        <w:autoSpaceDN w:val="0"/>
        <w:adjustRightInd w:val="0"/>
        <w:spacing w:after="160" w:line="259" w:lineRule="auto"/>
        <w:jc w:val="both"/>
        <w:rPr>
          <w:rFonts w:ascii="Ping LCG Regular" w:hAnsi="Ping LCG Regular" w:cstheme="minorHAnsi"/>
          <w:color w:val="000000"/>
          <w:sz w:val="20"/>
          <w:szCs w:val="20"/>
          <w:lang w:val="el-GR"/>
        </w:rPr>
      </w:pPr>
      <w:r w:rsidRPr="00C724A6">
        <w:rPr>
          <w:rFonts w:ascii="Ping LCG Regular" w:hAnsi="Ping LCG Regular" w:cstheme="minorHAnsi"/>
          <w:color w:val="000000"/>
          <w:sz w:val="20"/>
          <w:szCs w:val="20"/>
          <w:lang w:val="el-GR"/>
        </w:rPr>
        <w:t xml:space="preserve">Ο δείκτης αυτός προκύπτει αν από τη γραμμή «Λειτουργικές Δαπάνες προ Αποσβέσεων και </w:t>
      </w:r>
      <w:proofErr w:type="spellStart"/>
      <w:r w:rsidRPr="00C724A6">
        <w:rPr>
          <w:rFonts w:ascii="Ping LCG Regular" w:hAnsi="Ping LCG Regular" w:cstheme="minorHAnsi"/>
          <w:color w:val="000000"/>
          <w:sz w:val="20"/>
          <w:szCs w:val="20"/>
          <w:lang w:val="el-GR"/>
        </w:rPr>
        <w:t>Απομειώσεων</w:t>
      </w:r>
      <w:proofErr w:type="spellEnd"/>
      <w:r w:rsidRPr="00C724A6">
        <w:rPr>
          <w:rFonts w:ascii="Ping LCG Regular" w:hAnsi="Ping LCG Regular" w:cstheme="minorHAnsi"/>
          <w:color w:val="000000"/>
          <w:sz w:val="20"/>
          <w:szCs w:val="20"/>
          <w:lang w:val="el-GR"/>
        </w:rPr>
        <w:t xml:space="preserve">» του πίνακα του </w:t>
      </w:r>
      <w:r w:rsidRPr="00C724A6">
        <w:rPr>
          <w:rFonts w:ascii="Ping LCG Regular" w:hAnsi="Ping LCG Regular" w:cstheme="minorHAnsi"/>
          <w:color w:val="000000"/>
          <w:sz w:val="20"/>
          <w:szCs w:val="20"/>
        </w:rPr>
        <w:t>EBITDA</w:t>
      </w:r>
      <w:r w:rsidRPr="00C724A6">
        <w:rPr>
          <w:rFonts w:ascii="Ping LCG Regular" w:hAnsi="Ping LCG Regular" w:cstheme="minorHAnsi"/>
          <w:color w:val="000000"/>
          <w:sz w:val="20"/>
          <w:szCs w:val="20"/>
          <w:lang w:val="el-GR"/>
        </w:rPr>
        <w:t xml:space="preserve"> όπως παρουσιάζεται ανωτέρω, αφαιρεθούν οι Ειδικές προσαρμογές που αναφέρονται στη σημείωση του Προσαρμοσμένου </w:t>
      </w:r>
      <w:r w:rsidRPr="00C724A6">
        <w:rPr>
          <w:rFonts w:ascii="Ping LCG Regular" w:hAnsi="Ping LCG Regular" w:cstheme="minorHAnsi"/>
          <w:color w:val="000000"/>
          <w:sz w:val="20"/>
          <w:szCs w:val="20"/>
        </w:rPr>
        <w:t>EBITDA</w:t>
      </w:r>
      <w:r w:rsidRPr="00C724A6">
        <w:rPr>
          <w:rFonts w:ascii="Ping LCG Regular" w:hAnsi="Ping LCG Regular" w:cstheme="minorHAnsi"/>
          <w:color w:val="000000"/>
          <w:sz w:val="20"/>
          <w:szCs w:val="20"/>
          <w:lang w:val="el-GR"/>
        </w:rPr>
        <w:t xml:space="preserve"> κατωτέρω. Ο δείκτης παρουσιάζεται στον Πίνακα Β.</w:t>
      </w:r>
    </w:p>
    <w:p w14:paraId="48501C84" w14:textId="77777777" w:rsidR="00C724A6" w:rsidRPr="00C724A6" w:rsidRDefault="00C724A6" w:rsidP="002D2BD8">
      <w:pPr>
        <w:autoSpaceDE w:val="0"/>
        <w:autoSpaceDN w:val="0"/>
        <w:adjustRightInd w:val="0"/>
        <w:spacing w:after="160" w:line="259" w:lineRule="auto"/>
        <w:rPr>
          <w:rFonts w:ascii="Ping LCG Regular" w:hAnsi="Ping LCG Regular" w:cstheme="minorHAnsi"/>
          <w:b/>
          <w:color w:val="000000"/>
          <w:sz w:val="20"/>
          <w:szCs w:val="20"/>
          <w:lang w:val="el-GR"/>
        </w:rPr>
      </w:pPr>
      <w:r w:rsidRPr="00C724A6">
        <w:rPr>
          <w:rFonts w:ascii="Ping LCG Regular" w:hAnsi="Ping LCG Regular" w:cstheme="minorHAnsi"/>
          <w:b/>
          <w:bCs/>
          <w:color w:val="000000"/>
          <w:sz w:val="20"/>
          <w:szCs w:val="20"/>
          <w:lang w:val="el-GR"/>
        </w:rPr>
        <w:t xml:space="preserve">Προσαρμοσμένο </w:t>
      </w:r>
      <w:r w:rsidRPr="00C724A6">
        <w:rPr>
          <w:rFonts w:ascii="Ping LCG Regular" w:hAnsi="Ping LCG Regular" w:cstheme="minorHAnsi"/>
          <w:b/>
          <w:bCs/>
          <w:color w:val="000000"/>
          <w:sz w:val="20"/>
          <w:szCs w:val="20"/>
        </w:rPr>
        <w:t>EBITDA</w:t>
      </w:r>
      <w:r w:rsidRPr="00C724A6">
        <w:rPr>
          <w:rFonts w:ascii="Ping LCG Regular" w:hAnsi="Ping LCG Regular" w:cstheme="minorHAnsi"/>
          <w:b/>
          <w:color w:val="000000"/>
          <w:sz w:val="20"/>
          <w:szCs w:val="20"/>
          <w:lang w:val="el-GR"/>
        </w:rPr>
        <w:t xml:space="preserve"> (Δείκτης λειτουργικών κερδών πριν από αποσβέσεις και </w:t>
      </w:r>
      <w:proofErr w:type="spellStart"/>
      <w:r w:rsidRPr="00C724A6">
        <w:rPr>
          <w:rFonts w:ascii="Ping LCG Regular" w:hAnsi="Ping LCG Regular" w:cstheme="minorHAnsi"/>
          <w:b/>
          <w:color w:val="000000"/>
          <w:sz w:val="20"/>
          <w:szCs w:val="20"/>
          <w:lang w:val="el-GR"/>
        </w:rPr>
        <w:t>απομειώσεις</w:t>
      </w:r>
      <w:proofErr w:type="spellEnd"/>
      <w:r w:rsidRPr="00C724A6">
        <w:rPr>
          <w:rFonts w:ascii="Ping LCG Regular" w:hAnsi="Ping LCG Regular" w:cstheme="minorHAnsi"/>
          <w:b/>
          <w:color w:val="000000"/>
          <w:sz w:val="20"/>
          <w:szCs w:val="20"/>
          <w:lang w:val="el-GR"/>
        </w:rPr>
        <w:t xml:space="preserve">, καθαρές χρηματοοικονομικές δαπάνες και  φόρους) </w:t>
      </w:r>
    </w:p>
    <w:p w14:paraId="4462E013" w14:textId="77777777" w:rsidR="00C724A6" w:rsidRPr="00C724A6" w:rsidRDefault="00C724A6" w:rsidP="002D2BD8">
      <w:pPr>
        <w:autoSpaceDE w:val="0"/>
        <w:autoSpaceDN w:val="0"/>
        <w:adjustRightInd w:val="0"/>
        <w:spacing w:after="160" w:line="259" w:lineRule="auto"/>
        <w:jc w:val="both"/>
        <w:rPr>
          <w:rFonts w:ascii="Ping LCG Regular" w:hAnsi="Ping LCG Regular" w:cstheme="minorHAnsi"/>
          <w:color w:val="000000"/>
          <w:sz w:val="20"/>
          <w:szCs w:val="20"/>
          <w:lang w:val="el-GR"/>
        </w:rPr>
      </w:pPr>
      <w:r w:rsidRPr="00C724A6">
        <w:rPr>
          <w:rFonts w:ascii="Ping LCG Regular" w:hAnsi="Ping LCG Regular" w:cstheme="minorHAnsi"/>
          <w:color w:val="000000"/>
          <w:sz w:val="20"/>
          <w:szCs w:val="20"/>
          <w:lang w:val="el-GR"/>
        </w:rPr>
        <w:t xml:space="preserve">Το Προσαρμοσμένο </w:t>
      </w:r>
      <w:r w:rsidRPr="00C724A6">
        <w:rPr>
          <w:rFonts w:ascii="Ping LCG Regular" w:hAnsi="Ping LCG Regular" w:cstheme="minorHAnsi"/>
          <w:color w:val="000000"/>
          <w:sz w:val="20"/>
          <w:szCs w:val="20"/>
        </w:rPr>
        <w:t>EBITD</w:t>
      </w:r>
      <w:r w:rsidRPr="00C724A6">
        <w:rPr>
          <w:rFonts w:ascii="Ping LCG Regular" w:hAnsi="Ping LCG Regular" w:cstheme="minorHAnsi"/>
          <w:color w:val="000000"/>
          <w:sz w:val="20"/>
          <w:szCs w:val="20"/>
          <w:lang w:val="el-GR"/>
        </w:rPr>
        <w:t>Α εξυπηρετεί στην καλύτερη ανάλυση των λειτουργικών αποτελεσμάτων του Ομίλου, εξαιρουμένης της επίδρασης των Ειδικών προσαρμογών. Για την τρίμηνη περίοδο που έληξε την 31η Μαρτίου 2024, υπήρξε η εξής Ειδική προσαρμογή: αποτίμηση συμβάσεων αγοραπωλησίας ηλεκτρικής ενέργειας ύψους € 32 εκατ. για τον Όμιλο (αρνητική επίπτωση). Για την τρίμηνη περίοδο που έληξε την 31</w:t>
      </w:r>
      <w:r w:rsidRPr="00C724A6">
        <w:rPr>
          <w:rFonts w:ascii="Ping LCG Regular" w:hAnsi="Ping LCG Regular" w:cstheme="minorHAnsi"/>
          <w:color w:val="000000"/>
          <w:sz w:val="20"/>
          <w:szCs w:val="20"/>
          <w:vertAlign w:val="superscript"/>
          <w:lang w:val="el-GR"/>
        </w:rPr>
        <w:t>η</w:t>
      </w:r>
      <w:r w:rsidRPr="00C724A6">
        <w:rPr>
          <w:rFonts w:ascii="Ping LCG Regular" w:hAnsi="Ping LCG Regular" w:cstheme="minorHAnsi"/>
          <w:color w:val="000000"/>
          <w:sz w:val="20"/>
          <w:szCs w:val="20"/>
          <w:lang w:val="el-GR"/>
        </w:rPr>
        <w:t xml:space="preserve"> Μαρτίου 2025, οι ειδικές προσαρμογές που επηρέασαν το Προσαρμοσμένο </w:t>
      </w:r>
      <w:r w:rsidRPr="00C724A6">
        <w:rPr>
          <w:rFonts w:ascii="Ping LCG Regular" w:hAnsi="Ping LCG Regular" w:cstheme="minorHAnsi"/>
          <w:color w:val="000000"/>
          <w:sz w:val="20"/>
          <w:szCs w:val="20"/>
        </w:rPr>
        <w:t>EBITDA</w:t>
      </w:r>
      <w:r w:rsidRPr="00C724A6">
        <w:rPr>
          <w:rFonts w:ascii="Ping LCG Regular" w:hAnsi="Ping LCG Regular" w:cstheme="minorHAnsi"/>
          <w:color w:val="000000"/>
          <w:sz w:val="20"/>
          <w:szCs w:val="20"/>
          <w:lang w:val="el-GR"/>
        </w:rPr>
        <w:t xml:space="preserve"> είναι οι ακόλουθες: α) πρόβλεψη </w:t>
      </w:r>
      <w:r w:rsidRPr="00C724A6">
        <w:rPr>
          <w:rFonts w:ascii="Ping LCG Regular" w:hAnsi="Ping LCG Regular" w:cstheme="minorHAnsi"/>
          <w:color w:val="000000"/>
          <w:sz w:val="20"/>
          <w:szCs w:val="20"/>
          <w:lang w:val="el-GR"/>
        </w:rPr>
        <w:lastRenderedPageBreak/>
        <w:t xml:space="preserve">αποζημιώσεων προσωπικού ποσού ύψους € 5 εκατ. για τον Όμιλο (αρνητική επίπτωση) και β) αποτίμηση συμβάσεων αγοραπωλησίας ηλεκτρικής ενέργειας ύψους €6 εκατ. για τον Όμιλο (αρνητική επίπτωση). Ο υπολογισμός του Προσαρμοσμένου </w:t>
      </w:r>
      <w:r w:rsidRPr="00C724A6">
        <w:rPr>
          <w:rFonts w:ascii="Ping LCG Regular" w:hAnsi="Ping LCG Regular" w:cstheme="minorHAnsi"/>
          <w:color w:val="000000"/>
          <w:sz w:val="20"/>
          <w:szCs w:val="20"/>
        </w:rPr>
        <w:t>EBITDA</w:t>
      </w:r>
      <w:r w:rsidRPr="00C724A6">
        <w:rPr>
          <w:rFonts w:ascii="Ping LCG Regular" w:hAnsi="Ping LCG Regular" w:cstheme="minorHAnsi"/>
          <w:color w:val="000000"/>
          <w:sz w:val="20"/>
          <w:szCs w:val="20"/>
          <w:lang w:val="el-GR"/>
        </w:rPr>
        <w:t xml:space="preserve"> παρουσιάζεται στον Πίνακα Γ.</w:t>
      </w:r>
    </w:p>
    <w:p w14:paraId="15E8ED96" w14:textId="77777777" w:rsidR="00C724A6" w:rsidRPr="00C724A6" w:rsidRDefault="00C724A6" w:rsidP="002D2BD8">
      <w:pPr>
        <w:autoSpaceDE w:val="0"/>
        <w:autoSpaceDN w:val="0"/>
        <w:adjustRightInd w:val="0"/>
        <w:spacing w:after="160" w:line="259" w:lineRule="auto"/>
        <w:rPr>
          <w:rFonts w:ascii="Ping LCG Regular" w:hAnsi="Ping LCG Regular" w:cstheme="minorHAnsi"/>
          <w:b/>
          <w:bCs/>
          <w:color w:val="000000"/>
          <w:sz w:val="20"/>
          <w:szCs w:val="20"/>
          <w:lang w:val="el-GR"/>
        </w:rPr>
      </w:pPr>
      <w:r w:rsidRPr="00C724A6">
        <w:rPr>
          <w:rFonts w:ascii="Ping LCG Regular" w:hAnsi="Ping LCG Regular" w:cstheme="minorHAnsi"/>
          <w:b/>
          <w:bCs/>
          <w:color w:val="000000"/>
          <w:sz w:val="20"/>
          <w:szCs w:val="20"/>
          <w:lang w:val="el-GR"/>
        </w:rPr>
        <w:t xml:space="preserve">Προσαρμοσμένα Καθαρά Κέρδη/(Ζημίες)  </w:t>
      </w:r>
    </w:p>
    <w:p w14:paraId="2DF84477" w14:textId="77777777" w:rsidR="00C724A6" w:rsidRPr="00C724A6" w:rsidRDefault="00C724A6" w:rsidP="002D2BD8">
      <w:pPr>
        <w:autoSpaceDE w:val="0"/>
        <w:autoSpaceDN w:val="0"/>
        <w:adjustRightInd w:val="0"/>
        <w:spacing w:after="160" w:line="259" w:lineRule="auto"/>
        <w:jc w:val="both"/>
        <w:rPr>
          <w:rFonts w:ascii="Ping LCG Regular" w:hAnsi="Ping LCG Regular" w:cstheme="minorHAnsi"/>
          <w:color w:val="000000"/>
          <w:sz w:val="20"/>
          <w:szCs w:val="20"/>
          <w:lang w:val="el-GR"/>
        </w:rPr>
      </w:pPr>
      <w:r w:rsidRPr="00C724A6">
        <w:rPr>
          <w:rFonts w:ascii="Ping LCG Regular" w:hAnsi="Ping LCG Regular" w:cstheme="minorHAnsi"/>
          <w:color w:val="000000"/>
          <w:sz w:val="20"/>
          <w:szCs w:val="20"/>
          <w:lang w:val="el-GR"/>
        </w:rPr>
        <w:t xml:space="preserve">Ο δείκτης αυτός εξυπηρετεί στην καλύτερη ανάλυση των αποτελεσμάτων του Ομίλου, εξαιρουμένης της επίδρασης των Ειδικών προσαρμογών και του υπολογισμένου φόρου επί αυτών. Για την τρίμηνη περίοδο που έληξε την 31η Μαρτίου 2025 και 31η Μαρτίου 2024 για τον Όμιλο, έχουν επιπρόσθετα εξαιρεθεί οι </w:t>
      </w:r>
      <w:proofErr w:type="spellStart"/>
      <w:r w:rsidRPr="00C724A6">
        <w:rPr>
          <w:rFonts w:ascii="Ping LCG Regular" w:hAnsi="Ping LCG Regular" w:cstheme="minorHAnsi"/>
          <w:color w:val="000000"/>
          <w:sz w:val="20"/>
          <w:szCs w:val="20"/>
          <w:lang w:val="el-GR"/>
        </w:rPr>
        <w:t>Yποαξίες</w:t>
      </w:r>
      <w:proofErr w:type="spellEnd"/>
      <w:r w:rsidRPr="00C724A6">
        <w:rPr>
          <w:rFonts w:ascii="Ping LCG Regular" w:hAnsi="Ping LCG Regular" w:cstheme="minorHAnsi"/>
          <w:color w:val="000000"/>
          <w:sz w:val="20"/>
          <w:szCs w:val="20"/>
          <w:lang w:val="el-GR"/>
        </w:rPr>
        <w:t xml:space="preserve"> αποτίμησης περιουσιακών στοιχείων, οι Αποσβέσεις από αναπροσαρμογή παγίων περιουσιακών στοιχείων και ο φόρος επί αυτών. Οι υπολογισμοί παρουσιάζονται στον Πίνακα Δ.</w:t>
      </w:r>
    </w:p>
    <w:p w14:paraId="1EEC36C2" w14:textId="77777777" w:rsidR="00C724A6" w:rsidRPr="00C724A6" w:rsidRDefault="00C724A6" w:rsidP="002D2BD8">
      <w:pPr>
        <w:autoSpaceDE w:val="0"/>
        <w:autoSpaceDN w:val="0"/>
        <w:adjustRightInd w:val="0"/>
        <w:spacing w:after="160" w:line="259" w:lineRule="auto"/>
        <w:rPr>
          <w:rFonts w:ascii="Ping LCG Regular" w:hAnsi="Ping LCG Regular" w:cstheme="minorHAnsi"/>
          <w:b/>
          <w:bCs/>
          <w:color w:val="000000"/>
          <w:sz w:val="20"/>
          <w:szCs w:val="20"/>
          <w:lang w:val="el-GR"/>
        </w:rPr>
      </w:pPr>
      <w:r w:rsidRPr="00C724A6">
        <w:rPr>
          <w:rFonts w:ascii="Ping LCG Regular" w:hAnsi="Ping LCG Regular" w:cstheme="minorHAnsi"/>
          <w:b/>
          <w:bCs/>
          <w:color w:val="000000"/>
          <w:sz w:val="20"/>
          <w:szCs w:val="20"/>
          <w:lang w:val="el-GR"/>
        </w:rPr>
        <w:t xml:space="preserve">Προσαρμοσμένα Καθαρά Κέρδη/(Ζημίες) μετά από Δικαιώματα Μειοψηφίας </w:t>
      </w:r>
    </w:p>
    <w:p w14:paraId="26EF7FC4" w14:textId="77777777" w:rsidR="00C724A6" w:rsidRPr="00C724A6" w:rsidRDefault="00C724A6" w:rsidP="002D2BD8">
      <w:pPr>
        <w:autoSpaceDE w:val="0"/>
        <w:autoSpaceDN w:val="0"/>
        <w:adjustRightInd w:val="0"/>
        <w:spacing w:after="160" w:line="259" w:lineRule="auto"/>
        <w:jc w:val="both"/>
        <w:rPr>
          <w:rFonts w:ascii="Ping LCG Regular" w:hAnsi="Ping LCG Regular" w:cstheme="minorHAnsi"/>
          <w:b/>
          <w:color w:val="000000"/>
          <w:sz w:val="20"/>
          <w:szCs w:val="20"/>
          <w:lang w:val="el-GR"/>
        </w:rPr>
      </w:pPr>
      <w:r w:rsidRPr="00C724A6">
        <w:rPr>
          <w:rFonts w:ascii="Ping LCG Regular" w:hAnsi="Ping LCG Regular" w:cstheme="minorHAnsi"/>
          <w:bCs/>
          <w:color w:val="000000"/>
          <w:sz w:val="20"/>
          <w:szCs w:val="20"/>
          <w:lang w:val="el-GR"/>
        </w:rPr>
        <w:t xml:space="preserve">Τα </w:t>
      </w:r>
      <w:r w:rsidRPr="00C724A6">
        <w:rPr>
          <w:rFonts w:ascii="Ping LCG Regular" w:hAnsi="Ping LCG Regular" w:cstheme="minorHAnsi"/>
          <w:color w:val="000000"/>
          <w:sz w:val="20"/>
          <w:szCs w:val="20"/>
          <w:lang w:val="el-GR"/>
        </w:rPr>
        <w:t>Προσαρμοσμένα</w:t>
      </w:r>
      <w:r w:rsidRPr="00C724A6">
        <w:rPr>
          <w:rFonts w:ascii="Ping LCG Regular" w:hAnsi="Ping LCG Regular" w:cstheme="minorHAnsi"/>
          <w:bCs/>
          <w:color w:val="000000"/>
          <w:sz w:val="20"/>
          <w:szCs w:val="20"/>
          <w:lang w:val="el-GR"/>
        </w:rPr>
        <w:t xml:space="preserve"> Καθαρά Κέρδη/(Ζημίες) μετά από Δικαιώματα Μειοψηφίας εξυπηρετούν στην καλύτερη ανάλυση των αποτελεσμάτων του Ομίλου, εξαιρουμένης της επίδρασης των Δικαιωμάτων μειοψηφίας, και των Δικαιωμάτων Μειοψηφίας επί των Ειδικών προσαρμογών. Οι υπολογισμοί παρουσιάζονται στον Πίνακα Ε.</w:t>
      </w:r>
    </w:p>
    <w:p w14:paraId="5CFA3998" w14:textId="77777777" w:rsidR="00C724A6" w:rsidRPr="00C724A6" w:rsidRDefault="00C724A6" w:rsidP="002D2BD8">
      <w:pPr>
        <w:autoSpaceDE w:val="0"/>
        <w:autoSpaceDN w:val="0"/>
        <w:adjustRightInd w:val="0"/>
        <w:spacing w:after="160" w:line="259" w:lineRule="auto"/>
        <w:rPr>
          <w:rFonts w:ascii="Ping LCG Regular" w:hAnsi="Ping LCG Regular" w:cstheme="minorHAnsi"/>
          <w:b/>
          <w:color w:val="000000"/>
          <w:sz w:val="20"/>
          <w:szCs w:val="20"/>
          <w:lang w:val="el-GR"/>
        </w:rPr>
      </w:pPr>
      <w:r w:rsidRPr="00C724A6">
        <w:rPr>
          <w:rFonts w:ascii="Ping LCG Regular" w:hAnsi="Ping LCG Regular" w:cstheme="minorHAnsi"/>
          <w:b/>
          <w:color w:val="000000"/>
          <w:sz w:val="20"/>
          <w:szCs w:val="20"/>
          <w:lang w:val="el-GR"/>
        </w:rPr>
        <w:t xml:space="preserve">Καθαρός Δανεισμός </w:t>
      </w:r>
    </w:p>
    <w:p w14:paraId="21043781" w14:textId="77777777" w:rsidR="00C724A6" w:rsidRDefault="00C724A6" w:rsidP="002D2BD8">
      <w:pPr>
        <w:autoSpaceDE w:val="0"/>
        <w:autoSpaceDN w:val="0"/>
        <w:adjustRightInd w:val="0"/>
        <w:spacing w:after="160" w:line="259" w:lineRule="auto"/>
        <w:jc w:val="both"/>
        <w:rPr>
          <w:rFonts w:ascii="Ping LCG Regular" w:hAnsi="Ping LCG Regular" w:cstheme="minorHAnsi"/>
          <w:color w:val="000000"/>
          <w:sz w:val="20"/>
          <w:szCs w:val="20"/>
        </w:rPr>
      </w:pPr>
      <w:r w:rsidRPr="00C724A6">
        <w:rPr>
          <w:rFonts w:ascii="Ping LCG Regular" w:hAnsi="Ping LCG Regular" w:cstheme="minorHAnsi"/>
          <w:color w:val="000000"/>
          <w:sz w:val="20"/>
          <w:szCs w:val="20"/>
          <w:lang w:val="el-GR"/>
        </w:rPr>
        <w:t xml:space="preserve">Ο καθαρός δανεισμός είναι ένας ΕΔΜΑ που χρησιμοποιεί η διοίκηση για να αξιολογήσει την κεφαλαιακή διάρθρωση του Ομίλου και την δυνατότητα </w:t>
      </w:r>
      <w:proofErr w:type="spellStart"/>
      <w:r w:rsidRPr="00C724A6">
        <w:rPr>
          <w:rFonts w:ascii="Ping LCG Regular" w:hAnsi="Ping LCG Regular" w:cstheme="minorHAnsi"/>
          <w:color w:val="000000"/>
          <w:sz w:val="20"/>
          <w:szCs w:val="20"/>
          <w:lang w:val="el-GR"/>
        </w:rPr>
        <w:t>μόχλευσης</w:t>
      </w:r>
      <w:proofErr w:type="spellEnd"/>
      <w:r w:rsidRPr="00C724A6">
        <w:rPr>
          <w:rFonts w:ascii="Ping LCG Regular" w:hAnsi="Ping LCG Regular" w:cstheme="minorHAnsi"/>
          <w:color w:val="000000"/>
          <w:sz w:val="20"/>
          <w:szCs w:val="20"/>
          <w:lang w:val="el-GR"/>
        </w:rPr>
        <w:t xml:space="preserve">. Ο καθαρός δανεισμός υπολογίζεται προσθέτοντας στα μακροπρόθεσμα δάνεια το βραχυπρόθεσμο μέρος μακροπρόθεσμων δανείων και τα βραχυπρόθεσμα δάνεια, αφαιρώντας από το σύνολο τα χρηματικά διαθέσιμα, τις δεσμευμένες καταθέσεις που αφορούν σε δανειακές συμβάσεις και τα χρηματοοικονομικά περιουσιακά στοιχεία </w:t>
      </w:r>
      <w:proofErr w:type="spellStart"/>
      <w:r w:rsidRPr="00C724A6">
        <w:rPr>
          <w:rFonts w:ascii="Ping LCG Regular" w:hAnsi="Ping LCG Regular" w:cstheme="minorHAnsi"/>
          <w:color w:val="000000"/>
          <w:sz w:val="20"/>
          <w:szCs w:val="20"/>
          <w:lang w:val="el-GR"/>
        </w:rPr>
        <w:t>επιμετρούμενα</w:t>
      </w:r>
      <w:proofErr w:type="spellEnd"/>
      <w:r w:rsidRPr="00C724A6">
        <w:rPr>
          <w:rFonts w:ascii="Ping LCG Regular" w:hAnsi="Ping LCG Regular" w:cstheme="minorHAnsi"/>
          <w:color w:val="000000"/>
          <w:sz w:val="20"/>
          <w:szCs w:val="20"/>
          <w:lang w:val="el-GR"/>
        </w:rPr>
        <w:t xml:space="preserve"> στην εύλογη αξία μέσω των συνολικών εισοδημάτων και προσθέτοντας το </w:t>
      </w:r>
      <w:proofErr w:type="spellStart"/>
      <w:r w:rsidRPr="00C724A6">
        <w:rPr>
          <w:rFonts w:ascii="Ping LCG Regular" w:hAnsi="Ping LCG Regular" w:cstheme="minorHAnsi"/>
          <w:color w:val="000000"/>
          <w:sz w:val="20"/>
          <w:szCs w:val="20"/>
          <w:lang w:val="el-GR"/>
        </w:rPr>
        <w:t>αναπόσβεστο</w:t>
      </w:r>
      <w:proofErr w:type="spellEnd"/>
      <w:r w:rsidRPr="00C724A6">
        <w:rPr>
          <w:rFonts w:ascii="Ping LCG Regular" w:hAnsi="Ping LCG Regular" w:cstheme="minorHAnsi"/>
          <w:color w:val="000000"/>
          <w:sz w:val="20"/>
          <w:szCs w:val="20"/>
          <w:lang w:val="el-GR"/>
        </w:rPr>
        <w:t xml:space="preserve"> μέρος των εξόδων σύναψης δανείων και προσαρμογών ΔΠΧΑ 9. </w:t>
      </w:r>
      <w:proofErr w:type="spellStart"/>
      <w:r w:rsidRPr="00C724A6">
        <w:rPr>
          <w:rFonts w:ascii="Ping LCG Regular" w:hAnsi="Ping LCG Regular" w:cstheme="minorHAnsi"/>
          <w:color w:val="000000"/>
          <w:sz w:val="20"/>
          <w:szCs w:val="20"/>
        </w:rPr>
        <w:t>Οι</w:t>
      </w:r>
      <w:proofErr w:type="spellEnd"/>
      <w:r w:rsidRPr="00C724A6">
        <w:rPr>
          <w:rFonts w:ascii="Ping LCG Regular" w:hAnsi="Ping LCG Regular" w:cstheme="minorHAnsi"/>
          <w:color w:val="000000"/>
          <w:sz w:val="20"/>
          <w:szCs w:val="20"/>
        </w:rPr>
        <w:t xml:space="preserve"> υπ</w:t>
      </w:r>
      <w:proofErr w:type="spellStart"/>
      <w:r w:rsidRPr="00C724A6">
        <w:rPr>
          <w:rFonts w:ascii="Ping LCG Regular" w:hAnsi="Ping LCG Regular" w:cstheme="minorHAnsi"/>
          <w:color w:val="000000"/>
          <w:sz w:val="20"/>
          <w:szCs w:val="20"/>
        </w:rPr>
        <w:t>ολογισμοί</w:t>
      </w:r>
      <w:proofErr w:type="spellEnd"/>
      <w:r w:rsidRPr="00C724A6">
        <w:rPr>
          <w:rFonts w:ascii="Ping LCG Regular" w:hAnsi="Ping LCG Regular" w:cstheme="minorHAnsi"/>
          <w:color w:val="000000"/>
          <w:sz w:val="20"/>
          <w:szCs w:val="20"/>
        </w:rPr>
        <w:t xml:space="preserve"> πα</w:t>
      </w:r>
      <w:proofErr w:type="spellStart"/>
      <w:r w:rsidRPr="00C724A6">
        <w:rPr>
          <w:rFonts w:ascii="Ping LCG Regular" w:hAnsi="Ping LCG Regular" w:cstheme="minorHAnsi"/>
          <w:color w:val="000000"/>
          <w:sz w:val="20"/>
          <w:szCs w:val="20"/>
        </w:rPr>
        <w:t>ρουσιάζοντ</w:t>
      </w:r>
      <w:proofErr w:type="spellEnd"/>
      <w:r w:rsidRPr="00C724A6">
        <w:rPr>
          <w:rFonts w:ascii="Ping LCG Regular" w:hAnsi="Ping LCG Regular" w:cstheme="minorHAnsi"/>
          <w:color w:val="000000"/>
          <w:sz w:val="20"/>
          <w:szCs w:val="20"/>
        </w:rPr>
        <w:t xml:space="preserve">αι </w:t>
      </w:r>
      <w:proofErr w:type="spellStart"/>
      <w:r w:rsidRPr="00C724A6">
        <w:rPr>
          <w:rFonts w:ascii="Ping LCG Regular" w:hAnsi="Ping LCG Regular" w:cstheme="minorHAnsi"/>
          <w:color w:val="000000"/>
          <w:sz w:val="20"/>
          <w:szCs w:val="20"/>
        </w:rPr>
        <w:t>στον</w:t>
      </w:r>
      <w:proofErr w:type="spellEnd"/>
      <w:r w:rsidRPr="00C724A6">
        <w:rPr>
          <w:rFonts w:ascii="Ping LCG Regular" w:hAnsi="Ping LCG Regular" w:cstheme="minorHAnsi"/>
          <w:color w:val="000000"/>
          <w:sz w:val="20"/>
          <w:szCs w:val="20"/>
        </w:rPr>
        <w:t xml:space="preserve"> π</w:t>
      </w:r>
      <w:proofErr w:type="spellStart"/>
      <w:r w:rsidRPr="00C724A6">
        <w:rPr>
          <w:rFonts w:ascii="Ping LCG Regular" w:hAnsi="Ping LCG Regular" w:cstheme="minorHAnsi"/>
          <w:color w:val="000000"/>
          <w:sz w:val="20"/>
          <w:szCs w:val="20"/>
        </w:rPr>
        <w:t>ίν</w:t>
      </w:r>
      <w:proofErr w:type="spellEnd"/>
      <w:r w:rsidRPr="00C724A6">
        <w:rPr>
          <w:rFonts w:ascii="Ping LCG Regular" w:hAnsi="Ping LCG Regular" w:cstheme="minorHAnsi"/>
          <w:color w:val="000000"/>
          <w:sz w:val="20"/>
          <w:szCs w:val="20"/>
        </w:rPr>
        <w:t>ακα ΣΤ.</w:t>
      </w:r>
    </w:p>
    <w:p w14:paraId="1F97DF1F" w14:textId="77777777" w:rsidR="002E2915" w:rsidRDefault="002E2915" w:rsidP="00234AB0">
      <w:pPr>
        <w:autoSpaceDE w:val="0"/>
        <w:autoSpaceDN w:val="0"/>
        <w:adjustRightInd w:val="0"/>
        <w:spacing w:after="160"/>
        <w:jc w:val="both"/>
        <w:rPr>
          <w:rFonts w:ascii="Ping LCG Regular" w:hAnsi="Ping LCG Regular" w:cstheme="minorHAnsi"/>
          <w:color w:val="000000"/>
          <w:sz w:val="20"/>
          <w:szCs w:val="20"/>
        </w:rPr>
      </w:pPr>
    </w:p>
    <w:p w14:paraId="08F2FB44" w14:textId="205778F6" w:rsidR="002E2915" w:rsidRDefault="002E2915">
      <w:pPr>
        <w:rPr>
          <w:rFonts w:ascii="Ping LCG Regular" w:hAnsi="Ping LCG Regular" w:cstheme="minorHAnsi"/>
          <w:color w:val="000000"/>
          <w:sz w:val="20"/>
          <w:szCs w:val="20"/>
        </w:rPr>
      </w:pPr>
      <w:r>
        <w:rPr>
          <w:rFonts w:ascii="Ping LCG Regular" w:hAnsi="Ping LCG Regular" w:cstheme="minorHAnsi"/>
          <w:color w:val="000000"/>
          <w:sz w:val="20"/>
          <w:szCs w:val="20"/>
        </w:rPr>
        <w:br w:type="page"/>
      </w:r>
    </w:p>
    <w:p w14:paraId="29183026" w14:textId="77777777" w:rsidR="002E2915" w:rsidRDefault="002E2915" w:rsidP="002E2915">
      <w:pPr>
        <w:rPr>
          <w:rFonts w:ascii="Ping LCG Regular" w:hAnsi="Ping LCG Regular" w:cs="Calibri Light"/>
          <w:color w:val="000000"/>
          <w:sz w:val="20"/>
          <w:szCs w:val="20"/>
          <w:lang w:val="el-GR"/>
        </w:rPr>
      </w:pPr>
      <w:r w:rsidRPr="009229EA">
        <w:rPr>
          <w:noProof/>
        </w:rPr>
        <w:lastRenderedPageBreak/>
        <w:drawing>
          <wp:inline distT="0" distB="0" distL="0" distR="0" wp14:anchorId="27A23AD9" wp14:editId="15B85F37">
            <wp:extent cx="5594350" cy="2908300"/>
            <wp:effectExtent l="0" t="0" r="6350" b="6350"/>
            <wp:docPr id="2100008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4350" cy="2908300"/>
                    </a:xfrm>
                    <a:prstGeom prst="rect">
                      <a:avLst/>
                    </a:prstGeom>
                    <a:noFill/>
                    <a:ln>
                      <a:noFill/>
                    </a:ln>
                  </pic:spPr>
                </pic:pic>
              </a:graphicData>
            </a:graphic>
          </wp:inline>
        </w:drawing>
      </w:r>
    </w:p>
    <w:p w14:paraId="1FFBE9AA" w14:textId="77777777" w:rsidR="002E2915" w:rsidRDefault="002E2915" w:rsidP="002E2915">
      <w:pPr>
        <w:rPr>
          <w:rFonts w:ascii="Ping LCG Regular" w:hAnsi="Ping LCG Regular" w:cs="Calibri Light"/>
          <w:color w:val="000000"/>
          <w:sz w:val="20"/>
          <w:szCs w:val="20"/>
          <w:lang w:val="el-GR"/>
        </w:rPr>
      </w:pPr>
    </w:p>
    <w:p w14:paraId="1E3FD9A7" w14:textId="77777777" w:rsidR="002E2915" w:rsidRDefault="002E2915" w:rsidP="002E2915">
      <w:pPr>
        <w:rPr>
          <w:rFonts w:ascii="Ping LCG Regular" w:hAnsi="Ping LCG Regular" w:cs="Calibri Light"/>
          <w:color w:val="000000"/>
          <w:sz w:val="20"/>
          <w:szCs w:val="20"/>
          <w:lang w:val="el-GR"/>
        </w:rPr>
      </w:pPr>
      <w:r w:rsidRPr="00420598">
        <w:rPr>
          <w:noProof/>
        </w:rPr>
        <w:drawing>
          <wp:inline distT="0" distB="0" distL="0" distR="0" wp14:anchorId="5D29864A" wp14:editId="1D119F66">
            <wp:extent cx="5594350" cy="1971040"/>
            <wp:effectExtent l="0" t="0" r="6350" b="0"/>
            <wp:docPr id="12794365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4350" cy="1971040"/>
                    </a:xfrm>
                    <a:prstGeom prst="rect">
                      <a:avLst/>
                    </a:prstGeom>
                    <a:noFill/>
                    <a:ln>
                      <a:noFill/>
                    </a:ln>
                  </pic:spPr>
                </pic:pic>
              </a:graphicData>
            </a:graphic>
          </wp:inline>
        </w:drawing>
      </w:r>
    </w:p>
    <w:p w14:paraId="128DACAB" w14:textId="77777777" w:rsidR="002E2915" w:rsidRDefault="002E2915" w:rsidP="002E2915">
      <w:pPr>
        <w:rPr>
          <w:rFonts w:ascii="Ping LCG Regular" w:hAnsi="Ping LCG Regular" w:cs="Calibri Light"/>
          <w:color w:val="000000"/>
          <w:sz w:val="20"/>
          <w:szCs w:val="20"/>
          <w:lang w:val="el-GR"/>
        </w:rPr>
      </w:pPr>
    </w:p>
    <w:p w14:paraId="6025DD28" w14:textId="77777777" w:rsidR="002E2915" w:rsidRDefault="002E2915" w:rsidP="002E2915">
      <w:pPr>
        <w:rPr>
          <w:rFonts w:ascii="Ping LCG Regular" w:hAnsi="Ping LCG Regular" w:cs="Calibri Light"/>
          <w:color w:val="000000"/>
          <w:sz w:val="20"/>
          <w:szCs w:val="20"/>
          <w:lang w:val="el-GR"/>
        </w:rPr>
      </w:pPr>
      <w:r w:rsidRPr="00420598">
        <w:rPr>
          <w:noProof/>
        </w:rPr>
        <w:drawing>
          <wp:inline distT="0" distB="0" distL="0" distR="0" wp14:anchorId="481CCFB7" wp14:editId="14597A26">
            <wp:extent cx="5594350" cy="1971040"/>
            <wp:effectExtent l="0" t="0" r="6350" b="0"/>
            <wp:docPr id="12182815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4350" cy="1971040"/>
                    </a:xfrm>
                    <a:prstGeom prst="rect">
                      <a:avLst/>
                    </a:prstGeom>
                    <a:noFill/>
                    <a:ln>
                      <a:noFill/>
                    </a:ln>
                  </pic:spPr>
                </pic:pic>
              </a:graphicData>
            </a:graphic>
          </wp:inline>
        </w:drawing>
      </w:r>
    </w:p>
    <w:p w14:paraId="39DAE50E" w14:textId="77777777" w:rsidR="002E2915" w:rsidRDefault="002E2915">
      <w:pPr>
        <w:rPr>
          <w:rFonts w:ascii="Ping LCG Regular" w:hAnsi="Ping LCG Regular" w:cstheme="minorHAnsi"/>
          <w:color w:val="000000"/>
          <w:sz w:val="20"/>
          <w:szCs w:val="20"/>
        </w:rPr>
      </w:pPr>
      <w:r>
        <w:rPr>
          <w:rFonts w:ascii="Ping LCG Regular" w:hAnsi="Ping LCG Regular" w:cstheme="minorHAnsi"/>
          <w:color w:val="000000"/>
          <w:sz w:val="20"/>
          <w:szCs w:val="20"/>
        </w:rPr>
        <w:br w:type="page"/>
      </w:r>
    </w:p>
    <w:p w14:paraId="0C897D46" w14:textId="77777777" w:rsidR="002E2915" w:rsidRDefault="002E2915" w:rsidP="002E2915">
      <w:pPr>
        <w:rPr>
          <w:rFonts w:ascii="Ping LCG Regular" w:hAnsi="Ping LCG Regular" w:cs="Calibri Light"/>
          <w:color w:val="000000"/>
          <w:sz w:val="20"/>
          <w:szCs w:val="20"/>
        </w:rPr>
      </w:pPr>
      <w:r w:rsidRPr="00907822">
        <w:rPr>
          <w:noProof/>
        </w:rPr>
        <w:lastRenderedPageBreak/>
        <w:drawing>
          <wp:inline distT="0" distB="0" distL="0" distR="0" wp14:anchorId="2E7E2601" wp14:editId="3884B9E6">
            <wp:extent cx="5594350" cy="3268980"/>
            <wp:effectExtent l="0" t="0" r="6350" b="7620"/>
            <wp:docPr id="1707685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4350" cy="3268980"/>
                    </a:xfrm>
                    <a:prstGeom prst="rect">
                      <a:avLst/>
                    </a:prstGeom>
                    <a:noFill/>
                    <a:ln>
                      <a:noFill/>
                    </a:ln>
                  </pic:spPr>
                </pic:pic>
              </a:graphicData>
            </a:graphic>
          </wp:inline>
        </w:drawing>
      </w:r>
    </w:p>
    <w:p w14:paraId="11979D8B" w14:textId="77777777" w:rsidR="002E2915" w:rsidRPr="008C3109" w:rsidRDefault="002E2915" w:rsidP="002E2915">
      <w:pPr>
        <w:rPr>
          <w:rFonts w:ascii="Ping LCG Regular" w:hAnsi="Ping LCG Regular" w:cs="Calibri Light"/>
          <w:color w:val="000000"/>
          <w:sz w:val="20"/>
          <w:szCs w:val="20"/>
        </w:rPr>
      </w:pPr>
    </w:p>
    <w:p w14:paraId="008394AF" w14:textId="77777777" w:rsidR="002E2915" w:rsidRDefault="002E2915" w:rsidP="002E2915">
      <w:pPr>
        <w:rPr>
          <w:noProof/>
          <w:lang w:val="el-GR"/>
        </w:rPr>
      </w:pPr>
      <w:r w:rsidRPr="005D65A4">
        <w:rPr>
          <w:noProof/>
        </w:rPr>
        <w:drawing>
          <wp:inline distT="0" distB="0" distL="0" distR="0" wp14:anchorId="56DC759C" wp14:editId="6298BF55">
            <wp:extent cx="5594350" cy="2412365"/>
            <wp:effectExtent l="0" t="0" r="6350" b="6985"/>
            <wp:docPr id="14574856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4350" cy="2412365"/>
                    </a:xfrm>
                    <a:prstGeom prst="rect">
                      <a:avLst/>
                    </a:prstGeom>
                    <a:noFill/>
                    <a:ln>
                      <a:noFill/>
                    </a:ln>
                  </pic:spPr>
                </pic:pic>
              </a:graphicData>
            </a:graphic>
          </wp:inline>
        </w:drawing>
      </w:r>
    </w:p>
    <w:p w14:paraId="52EBBBBA" w14:textId="77777777" w:rsidR="002E2915" w:rsidRDefault="002E2915" w:rsidP="002E2915">
      <w:pPr>
        <w:rPr>
          <w:rFonts w:ascii="Ping LCG Regular" w:hAnsi="Ping LCG Regular" w:cs="Calibri Light"/>
          <w:color w:val="000000"/>
          <w:sz w:val="20"/>
          <w:szCs w:val="20"/>
          <w:lang w:val="el-GR"/>
        </w:rPr>
      </w:pPr>
    </w:p>
    <w:p w14:paraId="388DAEF8" w14:textId="1BCFA2D1" w:rsidR="002E2915" w:rsidRDefault="00AD5003" w:rsidP="002E2915">
      <w:pPr>
        <w:rPr>
          <w:rFonts w:ascii="Ping LCG Regular" w:hAnsi="Ping LCG Regular" w:cs="Calibri Light"/>
          <w:color w:val="000000"/>
          <w:sz w:val="20"/>
          <w:szCs w:val="20"/>
          <w:lang w:val="el-GR"/>
        </w:rPr>
      </w:pPr>
      <w:r w:rsidRPr="00AD5003">
        <w:rPr>
          <w:noProof/>
        </w:rPr>
        <w:drawing>
          <wp:inline distT="0" distB="0" distL="0" distR="0" wp14:anchorId="31F7C24C" wp14:editId="7B94C45B">
            <wp:extent cx="5594350" cy="2196465"/>
            <wp:effectExtent l="0" t="0" r="6350" b="0"/>
            <wp:docPr id="1151274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4350" cy="2196465"/>
                    </a:xfrm>
                    <a:prstGeom prst="rect">
                      <a:avLst/>
                    </a:prstGeom>
                    <a:noFill/>
                    <a:ln>
                      <a:noFill/>
                    </a:ln>
                  </pic:spPr>
                </pic:pic>
              </a:graphicData>
            </a:graphic>
          </wp:inline>
        </w:drawing>
      </w:r>
    </w:p>
    <w:sectPr w:rsidR="002E2915" w:rsidSect="00125E6D">
      <w:headerReference w:type="even" r:id="rId23"/>
      <w:headerReference w:type="default" r:id="rId24"/>
      <w:footerReference w:type="even" r:id="rId25"/>
      <w:footerReference w:type="default" r:id="rId26"/>
      <w:headerReference w:type="first" r:id="rId27"/>
      <w:footerReference w:type="first" r:id="rId28"/>
      <w:pgSz w:w="11900" w:h="16840" w:code="9"/>
      <w:pgMar w:top="1701" w:right="1531" w:bottom="284" w:left="1559" w:header="0"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4132" w14:textId="77777777" w:rsidR="0062364F" w:rsidRDefault="0062364F" w:rsidP="0054172F">
      <w:r>
        <w:separator/>
      </w:r>
    </w:p>
  </w:endnote>
  <w:endnote w:type="continuationSeparator" w:id="0">
    <w:p w14:paraId="6A377C99" w14:textId="77777777" w:rsidR="0062364F" w:rsidRDefault="0062364F" w:rsidP="0054172F">
      <w:r>
        <w:continuationSeparator/>
      </w:r>
    </w:p>
  </w:endnote>
  <w:endnote w:type="continuationNotice" w:id="1">
    <w:p w14:paraId="29CDA4DC" w14:textId="77777777" w:rsidR="0062364F" w:rsidRDefault="00623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ing LCG Regular">
    <w:panose1 w:val="00000000000000000000"/>
    <w:charset w:val="00"/>
    <w:family w:val="modern"/>
    <w:notTrueType/>
    <w:pitch w:val="variable"/>
    <w:sig w:usb0="E00002FF" w:usb1="5001E47B"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dy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5490327"/>
      <w:docPartObj>
        <w:docPartGallery w:val="Page Numbers (Bottom of Page)"/>
        <w:docPartUnique/>
      </w:docPartObj>
    </w:sdtPr>
    <w:sdtContent>
      <w:p w14:paraId="634B7564" w14:textId="7EE273B5" w:rsidR="00277187" w:rsidRDefault="00277187" w:rsidP="00C3009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070DBB">
          <w:rPr>
            <w:rStyle w:val="PageNumber"/>
            <w:noProof/>
          </w:rPr>
          <w:t>2</w:t>
        </w:r>
        <w:r>
          <w:rPr>
            <w:rStyle w:val="PageNumber"/>
          </w:rPr>
          <w:fldChar w:fldCharType="end"/>
        </w:r>
      </w:p>
    </w:sdtContent>
  </w:sdt>
  <w:p w14:paraId="1B38097A" w14:textId="77777777" w:rsidR="00277187" w:rsidRDefault="00277187" w:rsidP="0027718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ing LCG Regular" w:hAnsi="Ping LCG Regular"/>
        <w:sz w:val="16"/>
        <w:szCs w:val="16"/>
      </w:rPr>
      <w:id w:val="-472456482"/>
      <w:docPartObj>
        <w:docPartGallery w:val="Page Numbers (Bottom of Page)"/>
        <w:docPartUnique/>
      </w:docPartObj>
    </w:sdtPr>
    <w:sdtEndPr>
      <w:rPr>
        <w:rStyle w:val="PageNumber"/>
        <w:color w:val="FFFFFF" w:themeColor="background1"/>
      </w:rPr>
    </w:sdtEndPr>
    <w:sdtContent>
      <w:p w14:paraId="44C738F4" w14:textId="750F5C83" w:rsidR="00277187" w:rsidRPr="0028254A" w:rsidRDefault="00277187" w:rsidP="00F5169D">
        <w:pPr>
          <w:pStyle w:val="Footer"/>
          <w:framePr w:w="561" w:wrap="notBeside" w:vAnchor="page" w:hAnchor="page" w:x="10601" w:y="16267"/>
          <w:jc w:val="right"/>
          <w:rPr>
            <w:rStyle w:val="PageNumber"/>
            <w:rFonts w:ascii="Ping LCG Regular" w:hAnsi="Ping LCG Regular"/>
            <w:color w:val="FFFFFF" w:themeColor="background1"/>
            <w:sz w:val="16"/>
            <w:szCs w:val="16"/>
          </w:rPr>
        </w:pPr>
        <w:r w:rsidRPr="0028254A">
          <w:rPr>
            <w:rStyle w:val="PageNumber"/>
            <w:rFonts w:ascii="Ping LCG Regular" w:hAnsi="Ping LCG Regular"/>
            <w:color w:val="FFFFFF" w:themeColor="background1"/>
            <w:sz w:val="16"/>
            <w:szCs w:val="16"/>
          </w:rPr>
          <w:fldChar w:fldCharType="begin"/>
        </w:r>
        <w:r w:rsidRPr="0028254A">
          <w:rPr>
            <w:rStyle w:val="PageNumber"/>
            <w:rFonts w:ascii="Ping LCG Regular" w:hAnsi="Ping LCG Regular"/>
            <w:color w:val="FFFFFF" w:themeColor="background1"/>
            <w:sz w:val="16"/>
            <w:szCs w:val="16"/>
          </w:rPr>
          <w:instrText xml:space="preserve"> PAGE </w:instrText>
        </w:r>
        <w:r w:rsidRPr="0028254A">
          <w:rPr>
            <w:rStyle w:val="PageNumber"/>
            <w:rFonts w:ascii="Ping LCG Regular" w:hAnsi="Ping LCG Regular"/>
            <w:color w:val="FFFFFF" w:themeColor="background1"/>
            <w:sz w:val="16"/>
            <w:szCs w:val="16"/>
          </w:rPr>
          <w:fldChar w:fldCharType="separate"/>
        </w:r>
        <w:r w:rsidRPr="0028254A">
          <w:rPr>
            <w:rStyle w:val="PageNumber"/>
            <w:rFonts w:ascii="Ping LCG Regular" w:hAnsi="Ping LCG Regular"/>
            <w:noProof/>
            <w:color w:val="FFFFFF" w:themeColor="background1"/>
            <w:sz w:val="16"/>
            <w:szCs w:val="16"/>
          </w:rPr>
          <w:t>2</w:t>
        </w:r>
        <w:r w:rsidRPr="0028254A">
          <w:rPr>
            <w:rStyle w:val="PageNumber"/>
            <w:rFonts w:ascii="Ping LCG Regular" w:hAnsi="Ping LCG Regular"/>
            <w:color w:val="FFFFFF" w:themeColor="background1"/>
            <w:sz w:val="16"/>
            <w:szCs w:val="16"/>
          </w:rPr>
          <w:fldChar w:fldCharType="end"/>
        </w:r>
      </w:p>
    </w:sdtContent>
  </w:sdt>
  <w:p w14:paraId="4A55A45F" w14:textId="043E4077" w:rsidR="00351929" w:rsidRPr="00F95A9D" w:rsidRDefault="001E71D4" w:rsidP="00C30099">
    <w:pPr>
      <w:pStyle w:val="Footer"/>
      <w:ind w:firstLine="360"/>
      <w:rPr>
        <w:lang w:val="el-GR"/>
      </w:rPr>
    </w:pPr>
    <w:r>
      <w:rPr>
        <w:noProof/>
      </w:rPr>
      <w:drawing>
        <wp:anchor distT="0" distB="0" distL="114300" distR="114300" simplePos="0" relativeHeight="251655680" behindDoc="1" locked="0" layoutInCell="1" allowOverlap="1" wp14:anchorId="205A56FE" wp14:editId="67215068">
          <wp:simplePos x="0" y="0"/>
          <wp:positionH relativeFrom="page">
            <wp:posOffset>423</wp:posOffset>
          </wp:positionH>
          <wp:positionV relativeFrom="paragraph">
            <wp:posOffset>95250</wp:posOffset>
          </wp:positionV>
          <wp:extent cx="7558193" cy="1248886"/>
          <wp:effectExtent l="0" t="0" r="5080" b="8890"/>
          <wp:wrapNone/>
          <wp:docPr id="8618196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19696"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flipH="1">
                    <a:off x="0" y="0"/>
                    <a:ext cx="7558193" cy="124888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0C8E" w14:textId="21DC9BDB" w:rsidR="001B100F" w:rsidRDefault="001E71D4" w:rsidP="00277187">
    <w:pPr>
      <w:pStyle w:val="Footer"/>
      <w:ind w:firstLine="360"/>
    </w:pPr>
    <w:r>
      <w:rPr>
        <w:noProof/>
      </w:rPr>
      <w:drawing>
        <wp:anchor distT="0" distB="0" distL="114300" distR="114300" simplePos="0" relativeHeight="251658752" behindDoc="0" locked="0" layoutInCell="1" allowOverlap="1" wp14:anchorId="2AAF2835" wp14:editId="003E4F2A">
          <wp:simplePos x="0" y="0"/>
          <wp:positionH relativeFrom="page">
            <wp:align>left</wp:align>
          </wp:positionH>
          <wp:positionV relativeFrom="paragraph">
            <wp:posOffset>93345</wp:posOffset>
          </wp:positionV>
          <wp:extent cx="7839789" cy="1146810"/>
          <wp:effectExtent l="0" t="0" r="8890" b="0"/>
          <wp:wrapNone/>
          <wp:docPr id="19959201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201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39789" cy="11468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F313" w14:textId="77777777" w:rsidR="0062364F" w:rsidRDefault="0062364F" w:rsidP="0054172F">
      <w:r>
        <w:separator/>
      </w:r>
    </w:p>
  </w:footnote>
  <w:footnote w:type="continuationSeparator" w:id="0">
    <w:p w14:paraId="3D180409" w14:textId="77777777" w:rsidR="0062364F" w:rsidRDefault="0062364F" w:rsidP="0054172F">
      <w:r>
        <w:continuationSeparator/>
      </w:r>
    </w:p>
  </w:footnote>
  <w:footnote w:type="continuationNotice" w:id="1">
    <w:p w14:paraId="3A9A8356" w14:textId="77777777" w:rsidR="0062364F" w:rsidRDefault="0062364F"/>
  </w:footnote>
  <w:footnote w:id="2">
    <w:p w14:paraId="7CB61A4F" w14:textId="77777777" w:rsidR="00DE03D1" w:rsidRPr="000E7238" w:rsidRDefault="00DE03D1" w:rsidP="00DE03D1">
      <w:pPr>
        <w:pStyle w:val="FootnoteText"/>
        <w:rPr>
          <w:lang w:val="el-GR"/>
        </w:rPr>
      </w:pPr>
      <w:r w:rsidRPr="006F72BA">
        <w:rPr>
          <w:rStyle w:val="FootnoteReference"/>
          <w:sz w:val="16"/>
          <w:szCs w:val="16"/>
        </w:rPr>
        <w:footnoteRef/>
      </w:r>
      <w:r w:rsidRPr="006F72BA">
        <w:rPr>
          <w:sz w:val="16"/>
          <w:szCs w:val="16"/>
          <w:lang w:val="el-GR"/>
        </w:rPr>
        <w:t xml:space="preserve"> </w:t>
      </w:r>
      <w:r>
        <w:rPr>
          <w:sz w:val="16"/>
          <w:szCs w:val="16"/>
          <w:lang w:val="el-GR"/>
        </w:rPr>
        <w:t xml:space="preserve">Ανάλυση των μεγεθών παρέχεται στους Εναλλακτικούς Δείκτες Μέτρησης και Απόδοσης στο Παράρτημα ΙΙ. </w:t>
      </w:r>
    </w:p>
  </w:footnote>
  <w:footnote w:id="3">
    <w:p w14:paraId="18C42277" w14:textId="77777777" w:rsidR="006C381E" w:rsidRPr="00983E94" w:rsidRDefault="006C381E" w:rsidP="006C381E">
      <w:pPr>
        <w:pStyle w:val="FootnoteText"/>
        <w:rPr>
          <w:sz w:val="16"/>
          <w:szCs w:val="16"/>
          <w:lang w:val="el-GR"/>
        </w:rPr>
      </w:pPr>
      <w:r w:rsidRPr="009B59AF">
        <w:rPr>
          <w:rStyle w:val="FootnoteReference"/>
        </w:rPr>
        <w:footnoteRef/>
      </w:r>
      <w:r w:rsidRPr="009B59AF">
        <w:rPr>
          <w:lang w:val="el-GR"/>
        </w:rPr>
        <w:t xml:space="preserve"> </w:t>
      </w:r>
      <w:r w:rsidRPr="009B59AF">
        <w:rPr>
          <w:sz w:val="16"/>
          <w:szCs w:val="16"/>
          <w:lang w:val="el-GR"/>
        </w:rPr>
        <w:t>Ανάλυση των μεγεθών παρέχεται στους Εναλλακτικούς Δείκτες Μέτρησης και Απόδοσης στο Παράρτημα ΙΙ.</w:t>
      </w:r>
      <w:r w:rsidRPr="006F72BA">
        <w:rPr>
          <w:sz w:val="16"/>
          <w:szCs w:val="16"/>
          <w:lang w:val="el-GR"/>
        </w:rPr>
        <w:t xml:space="preserve"> </w:t>
      </w:r>
    </w:p>
  </w:footnote>
  <w:footnote w:id="4">
    <w:p w14:paraId="3821FD1C" w14:textId="77777777" w:rsidR="00DE03D1" w:rsidRPr="00D80E92" w:rsidRDefault="00DE03D1" w:rsidP="00DE03D1">
      <w:pPr>
        <w:pStyle w:val="FootnoteText"/>
        <w:rPr>
          <w:sz w:val="16"/>
          <w:szCs w:val="16"/>
          <w:lang w:val="el-GR"/>
        </w:rPr>
      </w:pPr>
      <w:r w:rsidRPr="00D80E92">
        <w:rPr>
          <w:rStyle w:val="FootnoteReference"/>
        </w:rPr>
        <w:footnoteRef/>
      </w:r>
      <w:r w:rsidRPr="00D80E92">
        <w:rPr>
          <w:rStyle w:val="FootnoteReference"/>
          <w:lang w:val="el-GR"/>
        </w:rPr>
        <w:t xml:space="preserve"> </w:t>
      </w:r>
      <w:r w:rsidRPr="00D80E92">
        <w:rPr>
          <w:sz w:val="16"/>
          <w:szCs w:val="16"/>
          <w:lang w:val="el-GR"/>
        </w:rPr>
        <w:t>Με βάση τις εκτιμήσεις της ΔΕΗ</w:t>
      </w:r>
    </w:p>
  </w:footnote>
  <w:footnote w:id="5">
    <w:p w14:paraId="0AF7F7F0" w14:textId="77777777" w:rsidR="00DE03D1" w:rsidRPr="006370B9" w:rsidRDefault="00DE03D1" w:rsidP="00DE03D1">
      <w:pPr>
        <w:pStyle w:val="FootnoteText"/>
        <w:rPr>
          <w:lang w:val="el-GR"/>
        </w:rPr>
      </w:pPr>
      <w:r>
        <w:rPr>
          <w:rStyle w:val="FootnoteReference"/>
        </w:rPr>
        <w:footnoteRef/>
      </w:r>
      <w:r w:rsidRPr="006370B9">
        <w:rPr>
          <w:lang w:val="el-GR"/>
        </w:rPr>
        <w:t xml:space="preserve"> </w:t>
      </w:r>
      <w:r w:rsidRPr="00DB2C46">
        <w:rPr>
          <w:sz w:val="16"/>
          <w:szCs w:val="16"/>
          <w:lang w:val="el-GR"/>
        </w:rPr>
        <w:t xml:space="preserve">Με βάση τα στοιχεία της </w:t>
      </w:r>
      <w:proofErr w:type="spellStart"/>
      <w:r w:rsidRPr="00DB2C46">
        <w:rPr>
          <w:sz w:val="16"/>
          <w:szCs w:val="16"/>
        </w:rPr>
        <w:t>Transelectrica</w:t>
      </w:r>
      <w:proofErr w:type="spellEnd"/>
    </w:p>
  </w:footnote>
  <w:footnote w:id="6">
    <w:p w14:paraId="65EF60B7" w14:textId="77777777" w:rsidR="00DE03D1" w:rsidRPr="00D80E92" w:rsidRDefault="00DE03D1" w:rsidP="00DE03D1">
      <w:pPr>
        <w:pStyle w:val="FootnoteText"/>
        <w:rPr>
          <w:sz w:val="16"/>
          <w:szCs w:val="16"/>
          <w:lang w:val="el-GR"/>
        </w:rPr>
      </w:pPr>
      <w:r w:rsidRPr="00D80E92">
        <w:rPr>
          <w:rStyle w:val="FootnoteReference"/>
          <w:sz w:val="16"/>
          <w:szCs w:val="16"/>
        </w:rPr>
        <w:footnoteRef/>
      </w:r>
      <w:r w:rsidRPr="00D80E92">
        <w:rPr>
          <w:sz w:val="16"/>
          <w:szCs w:val="16"/>
          <w:lang w:val="el-GR"/>
        </w:rPr>
        <w:t xml:space="preserve"> </w:t>
      </w:r>
      <w:r w:rsidRPr="00D80E92">
        <w:rPr>
          <w:sz w:val="16"/>
          <w:szCs w:val="16"/>
        </w:rPr>
        <w:t>M</w:t>
      </w:r>
      <w:r w:rsidRPr="00D80E92">
        <w:rPr>
          <w:sz w:val="16"/>
          <w:szCs w:val="16"/>
          <w:lang w:val="el-GR"/>
        </w:rPr>
        <w:t>ε βάση τα στοιχεία του Ομίλου Χρηματιστηρίου Ενέργειας (</w:t>
      </w:r>
      <w:proofErr w:type="spellStart"/>
      <w:r w:rsidRPr="00D80E92">
        <w:rPr>
          <w:sz w:val="16"/>
          <w:szCs w:val="16"/>
        </w:rPr>
        <w:t>EnEx</w:t>
      </w:r>
      <w:proofErr w:type="spellEnd"/>
      <w:r w:rsidRPr="00D80E92">
        <w:rPr>
          <w:sz w:val="16"/>
          <w:szCs w:val="16"/>
          <w:lang w:val="el-GR"/>
        </w:rPr>
        <w:t>)</w:t>
      </w:r>
    </w:p>
  </w:footnote>
  <w:footnote w:id="7">
    <w:p w14:paraId="2B5E44F7" w14:textId="77777777" w:rsidR="00DE03D1" w:rsidRPr="005D2065" w:rsidRDefault="00DE03D1" w:rsidP="00DE03D1">
      <w:pPr>
        <w:pStyle w:val="FootnoteText"/>
        <w:rPr>
          <w:lang w:val="el-GR"/>
        </w:rPr>
      </w:pPr>
      <w:r w:rsidRPr="00D80E92">
        <w:rPr>
          <w:rStyle w:val="FootnoteReference"/>
          <w:sz w:val="16"/>
          <w:szCs w:val="16"/>
        </w:rPr>
        <w:footnoteRef/>
      </w:r>
      <w:r w:rsidRPr="00D80E92">
        <w:rPr>
          <w:sz w:val="16"/>
          <w:szCs w:val="16"/>
          <w:lang w:val="el-GR"/>
        </w:rPr>
        <w:t xml:space="preserve"> </w:t>
      </w:r>
      <w:r w:rsidRPr="004A422B">
        <w:rPr>
          <w:sz w:val="16"/>
          <w:szCs w:val="16"/>
          <w:lang w:val="el-GR"/>
        </w:rPr>
        <w:t xml:space="preserve">Εκτίμηση με βάση τα στοιχεία της </w:t>
      </w:r>
      <w:r w:rsidRPr="004A422B">
        <w:rPr>
          <w:sz w:val="16"/>
          <w:szCs w:val="16"/>
        </w:rPr>
        <w:t>ANRE</w:t>
      </w:r>
    </w:p>
  </w:footnote>
  <w:footnote w:id="8">
    <w:p w14:paraId="5A889491" w14:textId="5EA17157" w:rsidR="00DE03D1" w:rsidRPr="00D161D7" w:rsidRDefault="00DE03D1" w:rsidP="00DE03D1">
      <w:pPr>
        <w:pStyle w:val="FootnoteText"/>
        <w:rPr>
          <w:lang w:val="el-GR"/>
        </w:rPr>
      </w:pPr>
      <w:r>
        <w:rPr>
          <w:rStyle w:val="FootnoteReference"/>
        </w:rPr>
        <w:footnoteRef/>
      </w:r>
      <w:r w:rsidRPr="006370B9">
        <w:rPr>
          <w:lang w:val="el-GR"/>
        </w:rPr>
        <w:t xml:space="preserve"> </w:t>
      </w:r>
      <w:r>
        <w:rPr>
          <w:sz w:val="16"/>
          <w:szCs w:val="16"/>
          <w:lang w:val="el-GR"/>
        </w:rPr>
        <w:t xml:space="preserve">Τα </w:t>
      </w:r>
      <w:r w:rsidR="00034BBF">
        <w:rPr>
          <w:sz w:val="16"/>
          <w:szCs w:val="16"/>
          <w:lang w:val="el-GR"/>
        </w:rPr>
        <w:t xml:space="preserve">μεγέθη </w:t>
      </w:r>
      <w:r>
        <w:rPr>
          <w:sz w:val="16"/>
          <w:szCs w:val="16"/>
          <w:lang w:val="el-GR"/>
        </w:rPr>
        <w:t xml:space="preserve">του α’ τριμήνου 2024 βασίζονται σε απολογιστικά στοιχεία και του α’ τριμήνου 2025 </w:t>
      </w:r>
      <w:r w:rsidR="0036553F">
        <w:rPr>
          <w:sz w:val="16"/>
          <w:szCs w:val="16"/>
          <w:lang w:val="el-GR"/>
        </w:rPr>
        <w:t>σε εκτιμήσεις με βάση τα τελευταία διαθέσιμα στοιχεία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A6EF" w14:textId="5C03BB37" w:rsidR="0054172F" w:rsidRDefault="00000000">
    <w:pPr>
      <w:pStyle w:val="Header"/>
    </w:pPr>
    <w:r>
      <w:rPr>
        <w:noProof/>
      </w:rPr>
      <w:pict w14:anchorId="16320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6270" o:spid="_x0000_s1025" type="#_x0000_t75" alt="/Volumes/BriefMe_06/005-DDB/2020/113-DEH/035-PressRealesa/Telikes_Maketes/Press-Release 21x29,7cm-01-72ppi.jpg" style="position:absolute;margin-left:0;margin-top:0;width:297.5pt;height:421pt;z-index:-251655680;mso-wrap-edited:f;mso-position-horizontal:center;mso-position-horizontal-relative:margin;mso-position-vertical:center;mso-position-vertical-relative:margin" o:allowincell="f">
          <v:imagedata r:id="rId1" o:title="Press-Release 21x29,7cm-01-72pp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AD1C" w14:textId="76AEE162" w:rsidR="0054172F" w:rsidRDefault="00AC455D" w:rsidP="00504205">
    <w:pPr>
      <w:pStyle w:val="Header"/>
    </w:pPr>
    <w:r>
      <w:rPr>
        <w:noProof/>
      </w:rPr>
      <w:drawing>
        <wp:anchor distT="0" distB="0" distL="114300" distR="114300" simplePos="0" relativeHeight="251659776" behindDoc="1" locked="0" layoutInCell="1" allowOverlap="1" wp14:anchorId="0AFC87DA" wp14:editId="3B427254">
          <wp:simplePos x="0" y="0"/>
          <wp:positionH relativeFrom="page">
            <wp:posOffset>14605</wp:posOffset>
          </wp:positionH>
          <wp:positionV relativeFrom="page">
            <wp:align>top</wp:align>
          </wp:positionV>
          <wp:extent cx="7581600" cy="972000"/>
          <wp:effectExtent l="0" t="0" r="635" b="0"/>
          <wp:wrapNone/>
          <wp:docPr id="679168342" name="Picture 2" descr="A blue and white squar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3706886" name="Picture 2" descr="A blue and white square&#10;&#10;AI-generated content may be incorrect."/>
                  <pic:cNvPicPr/>
                </pic:nvPicPr>
                <pic:blipFill>
                  <a:blip r:embed="rId1"/>
                  <a:stretch>
                    <a:fillRect/>
                  </a:stretch>
                </pic:blipFill>
                <pic:spPr>
                  <a:xfrm flipH="1">
                    <a:off x="0" y="0"/>
                    <a:ext cx="7581600" cy="97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F3D2" w14:textId="51F29CA8" w:rsidR="00F75AF1" w:rsidRDefault="00AC455D" w:rsidP="00F75AF1">
    <w:pPr>
      <w:tabs>
        <w:tab w:val="left" w:pos="3540"/>
        <w:tab w:val="right" w:pos="10632"/>
      </w:tabs>
      <w:rPr>
        <w:rFonts w:ascii="Ping LCG Regular" w:hAnsi="Ping LCG Regular"/>
        <w:color w:val="FFFFFF" w:themeColor="background1"/>
        <w:sz w:val="40"/>
        <w:szCs w:val="40"/>
        <w:lang w:val="el-GR"/>
      </w:rPr>
    </w:pPr>
    <w:r>
      <w:rPr>
        <w:noProof/>
      </w:rPr>
      <w:drawing>
        <wp:anchor distT="0" distB="0" distL="114300" distR="114300" simplePos="0" relativeHeight="251656704" behindDoc="0" locked="0" layoutInCell="1" allowOverlap="1" wp14:anchorId="7EB6D64B" wp14:editId="650C653C">
          <wp:simplePos x="0" y="0"/>
          <wp:positionH relativeFrom="page">
            <wp:posOffset>-7620</wp:posOffset>
          </wp:positionH>
          <wp:positionV relativeFrom="paragraph">
            <wp:posOffset>10668000</wp:posOffset>
          </wp:positionV>
          <wp:extent cx="7564755" cy="966470"/>
          <wp:effectExtent l="0" t="0" r="0" b="5080"/>
          <wp:wrapNone/>
          <wp:docPr id="13275090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090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4755" cy="966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1E9" w:rsidRPr="00FC6F96">
      <w:rPr>
        <w:noProof/>
        <w:sz w:val="40"/>
        <w:szCs w:val="40"/>
      </w:rPr>
      <w:drawing>
        <wp:anchor distT="0" distB="0" distL="114300" distR="114300" simplePos="0" relativeHeight="251657728" behindDoc="1" locked="0" layoutInCell="1" allowOverlap="1" wp14:anchorId="6370AC46" wp14:editId="3A0FF8BE">
          <wp:simplePos x="0" y="0"/>
          <wp:positionH relativeFrom="page">
            <wp:posOffset>67945</wp:posOffset>
          </wp:positionH>
          <wp:positionV relativeFrom="page">
            <wp:posOffset>68580</wp:posOffset>
          </wp:positionV>
          <wp:extent cx="1979930" cy="1111885"/>
          <wp:effectExtent l="0" t="0" r="0" b="0"/>
          <wp:wrapNone/>
          <wp:docPr id="1808887804" name="Picture 3"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38138" name="Picture 3" descr="A white text on a black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979930" cy="1111885"/>
                  </a:xfrm>
                  <a:prstGeom prst="rect">
                    <a:avLst/>
                  </a:prstGeom>
                </pic:spPr>
              </pic:pic>
            </a:graphicData>
          </a:graphic>
          <wp14:sizeRelH relativeFrom="page">
            <wp14:pctWidth>0</wp14:pctWidth>
          </wp14:sizeRelH>
          <wp14:sizeRelV relativeFrom="page">
            <wp14:pctHeight>0</wp14:pctHeight>
          </wp14:sizeRelV>
        </wp:anchor>
      </w:drawing>
    </w:r>
    <w:r w:rsidR="00F75AF1">
      <w:rPr>
        <w:noProof/>
      </w:rPr>
      <w:drawing>
        <wp:anchor distT="0" distB="0" distL="114300" distR="114300" simplePos="0" relativeHeight="251654656" behindDoc="1" locked="0" layoutInCell="1" allowOverlap="1" wp14:anchorId="6EDEE2AF" wp14:editId="2888928F">
          <wp:simplePos x="0" y="0"/>
          <wp:positionH relativeFrom="page">
            <wp:align>left</wp:align>
          </wp:positionH>
          <wp:positionV relativeFrom="paragraph">
            <wp:posOffset>0</wp:posOffset>
          </wp:positionV>
          <wp:extent cx="7566660" cy="1226820"/>
          <wp:effectExtent l="0" t="0" r="0" b="0"/>
          <wp:wrapNone/>
          <wp:docPr id="1713815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815406"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566660"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7F7">
      <w:rPr>
        <w:rFonts w:ascii="Ping LCG Regular" w:hAnsi="Ping LCG Regular"/>
        <w:color w:val="FFFFFF" w:themeColor="background1"/>
        <w:sz w:val="40"/>
        <w:szCs w:val="40"/>
        <w:lang w:val="el-GR"/>
      </w:rPr>
      <w:tab/>
    </w:r>
    <w:r w:rsidR="00CA27F7">
      <w:rPr>
        <w:rFonts w:ascii="Ping LCG Regular" w:hAnsi="Ping LCG Regular"/>
        <w:color w:val="FFFFFF" w:themeColor="background1"/>
        <w:sz w:val="40"/>
        <w:szCs w:val="40"/>
        <w:lang w:val="el-GR"/>
      </w:rPr>
      <w:tab/>
    </w:r>
  </w:p>
  <w:p w14:paraId="5838B506" w14:textId="7C9E5E17" w:rsidR="00F75AF1" w:rsidRDefault="00F75AF1" w:rsidP="00F75AF1">
    <w:pPr>
      <w:tabs>
        <w:tab w:val="left" w:pos="3540"/>
        <w:tab w:val="right" w:pos="10632"/>
      </w:tabs>
      <w:rPr>
        <w:rFonts w:ascii="Ping LCG Regular" w:hAnsi="Ping LCG Regular"/>
        <w:color w:val="FFFFFF" w:themeColor="background1"/>
        <w:sz w:val="40"/>
        <w:szCs w:val="40"/>
        <w:lang w:val="el-GR"/>
      </w:rPr>
    </w:pPr>
  </w:p>
  <w:p w14:paraId="2596DB4B" w14:textId="79BD2A39" w:rsidR="00F75AF1" w:rsidRDefault="00F75AF1" w:rsidP="00F75AF1">
    <w:pPr>
      <w:tabs>
        <w:tab w:val="left" w:pos="3540"/>
        <w:tab w:val="right" w:pos="10632"/>
      </w:tabs>
      <w:jc w:val="center"/>
      <w:rPr>
        <w:rFonts w:ascii="Ping LCG Regular" w:hAnsi="Ping LCG Regular"/>
        <w:color w:val="FFFFFF" w:themeColor="background1"/>
        <w:sz w:val="40"/>
        <w:szCs w:val="40"/>
        <w:lang w:val="el-GR"/>
      </w:rPr>
    </w:pPr>
  </w:p>
  <w:p w14:paraId="0159BD0F" w14:textId="2F2A7372" w:rsidR="0054172F" w:rsidRPr="00F75AF1" w:rsidRDefault="00CA27F7" w:rsidP="00F75AF1">
    <w:pPr>
      <w:tabs>
        <w:tab w:val="left" w:pos="3540"/>
        <w:tab w:val="right" w:pos="10632"/>
      </w:tabs>
      <w:jc w:val="right"/>
      <w:rPr>
        <w:rFonts w:ascii="Ping LCG Regular" w:hAnsi="Ping LCG Regular"/>
        <w:color w:val="FFFFFF" w:themeColor="background1"/>
        <w:sz w:val="40"/>
        <w:szCs w:val="40"/>
        <w:lang w:val="el-GR"/>
      </w:rPr>
    </w:pPr>
    <w:r>
      <w:rPr>
        <w:rFonts w:ascii="Ping LCG Regular" w:hAnsi="Ping LCG Regular"/>
        <w:color w:val="FFFFFF" w:themeColor="background1"/>
        <w:sz w:val="40"/>
        <w:szCs w:val="40"/>
        <w:lang w:val="el-GR"/>
      </w:rPr>
      <w:t>Δελτίο Τύπου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DBC"/>
    <w:multiLevelType w:val="hybridMultilevel"/>
    <w:tmpl w:val="9E581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1956DB0"/>
    <w:multiLevelType w:val="hybridMultilevel"/>
    <w:tmpl w:val="84FC3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064C1C"/>
    <w:multiLevelType w:val="hybridMultilevel"/>
    <w:tmpl w:val="27288026"/>
    <w:lvl w:ilvl="0" w:tplc="9144543C">
      <w:start w:val="1"/>
      <w:numFmt w:val="bullet"/>
      <w:lvlText w:val=""/>
      <w:lvlJc w:val="left"/>
      <w:pPr>
        <w:ind w:left="1080" w:hanging="360"/>
      </w:pPr>
      <w:rPr>
        <w:rFonts w:ascii="Symbol" w:hAnsi="Symbol"/>
      </w:rPr>
    </w:lvl>
    <w:lvl w:ilvl="1" w:tplc="0DC24678">
      <w:start w:val="1"/>
      <w:numFmt w:val="bullet"/>
      <w:lvlText w:val=""/>
      <w:lvlJc w:val="left"/>
      <w:pPr>
        <w:ind w:left="1080" w:hanging="360"/>
      </w:pPr>
      <w:rPr>
        <w:rFonts w:ascii="Symbol" w:hAnsi="Symbol"/>
      </w:rPr>
    </w:lvl>
    <w:lvl w:ilvl="2" w:tplc="C60417A0">
      <w:start w:val="1"/>
      <w:numFmt w:val="bullet"/>
      <w:lvlText w:val=""/>
      <w:lvlJc w:val="left"/>
      <w:pPr>
        <w:ind w:left="1080" w:hanging="360"/>
      </w:pPr>
      <w:rPr>
        <w:rFonts w:ascii="Symbol" w:hAnsi="Symbol"/>
      </w:rPr>
    </w:lvl>
    <w:lvl w:ilvl="3" w:tplc="AE1A9116">
      <w:start w:val="1"/>
      <w:numFmt w:val="bullet"/>
      <w:lvlText w:val=""/>
      <w:lvlJc w:val="left"/>
      <w:pPr>
        <w:ind w:left="1080" w:hanging="360"/>
      </w:pPr>
      <w:rPr>
        <w:rFonts w:ascii="Symbol" w:hAnsi="Symbol"/>
      </w:rPr>
    </w:lvl>
    <w:lvl w:ilvl="4" w:tplc="79263734">
      <w:start w:val="1"/>
      <w:numFmt w:val="bullet"/>
      <w:lvlText w:val=""/>
      <w:lvlJc w:val="left"/>
      <w:pPr>
        <w:ind w:left="1080" w:hanging="360"/>
      </w:pPr>
      <w:rPr>
        <w:rFonts w:ascii="Symbol" w:hAnsi="Symbol"/>
      </w:rPr>
    </w:lvl>
    <w:lvl w:ilvl="5" w:tplc="0EF073D4">
      <w:start w:val="1"/>
      <w:numFmt w:val="bullet"/>
      <w:lvlText w:val=""/>
      <w:lvlJc w:val="left"/>
      <w:pPr>
        <w:ind w:left="1080" w:hanging="360"/>
      </w:pPr>
      <w:rPr>
        <w:rFonts w:ascii="Symbol" w:hAnsi="Symbol"/>
      </w:rPr>
    </w:lvl>
    <w:lvl w:ilvl="6" w:tplc="1710113C">
      <w:start w:val="1"/>
      <w:numFmt w:val="bullet"/>
      <w:lvlText w:val=""/>
      <w:lvlJc w:val="left"/>
      <w:pPr>
        <w:ind w:left="1080" w:hanging="360"/>
      </w:pPr>
      <w:rPr>
        <w:rFonts w:ascii="Symbol" w:hAnsi="Symbol"/>
      </w:rPr>
    </w:lvl>
    <w:lvl w:ilvl="7" w:tplc="6C4E471C">
      <w:start w:val="1"/>
      <w:numFmt w:val="bullet"/>
      <w:lvlText w:val=""/>
      <w:lvlJc w:val="left"/>
      <w:pPr>
        <w:ind w:left="1080" w:hanging="360"/>
      </w:pPr>
      <w:rPr>
        <w:rFonts w:ascii="Symbol" w:hAnsi="Symbol"/>
      </w:rPr>
    </w:lvl>
    <w:lvl w:ilvl="8" w:tplc="568A5B94">
      <w:start w:val="1"/>
      <w:numFmt w:val="bullet"/>
      <w:lvlText w:val=""/>
      <w:lvlJc w:val="left"/>
      <w:pPr>
        <w:ind w:left="1080" w:hanging="360"/>
      </w:pPr>
      <w:rPr>
        <w:rFonts w:ascii="Symbol" w:hAnsi="Symbol"/>
      </w:rPr>
    </w:lvl>
  </w:abstractNum>
  <w:abstractNum w:abstractNumId="3" w15:restartNumberingAfterBreak="0">
    <w:nsid w:val="09BA687D"/>
    <w:multiLevelType w:val="hybridMultilevel"/>
    <w:tmpl w:val="2BBC35E6"/>
    <w:lvl w:ilvl="0" w:tplc="4C142C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7159D"/>
    <w:multiLevelType w:val="hybridMultilevel"/>
    <w:tmpl w:val="AA365A92"/>
    <w:lvl w:ilvl="0" w:tplc="E8CA2482">
      <w:start w:val="1"/>
      <w:numFmt w:val="bullet"/>
      <w:lvlText w:val=""/>
      <w:lvlJc w:val="left"/>
      <w:pPr>
        <w:ind w:left="720" w:hanging="360"/>
      </w:pPr>
      <w:rPr>
        <w:rFonts w:ascii="Symbol" w:hAnsi="Symbol"/>
      </w:rPr>
    </w:lvl>
    <w:lvl w:ilvl="1" w:tplc="F8F8D380">
      <w:start w:val="1"/>
      <w:numFmt w:val="bullet"/>
      <w:lvlText w:val=""/>
      <w:lvlJc w:val="left"/>
      <w:pPr>
        <w:ind w:left="720" w:hanging="360"/>
      </w:pPr>
      <w:rPr>
        <w:rFonts w:ascii="Symbol" w:hAnsi="Symbol"/>
      </w:rPr>
    </w:lvl>
    <w:lvl w:ilvl="2" w:tplc="904C6052">
      <w:start w:val="1"/>
      <w:numFmt w:val="bullet"/>
      <w:lvlText w:val=""/>
      <w:lvlJc w:val="left"/>
      <w:pPr>
        <w:ind w:left="720" w:hanging="360"/>
      </w:pPr>
      <w:rPr>
        <w:rFonts w:ascii="Symbol" w:hAnsi="Symbol"/>
      </w:rPr>
    </w:lvl>
    <w:lvl w:ilvl="3" w:tplc="7FAA1CAC">
      <w:start w:val="1"/>
      <w:numFmt w:val="bullet"/>
      <w:lvlText w:val=""/>
      <w:lvlJc w:val="left"/>
      <w:pPr>
        <w:ind w:left="720" w:hanging="360"/>
      </w:pPr>
      <w:rPr>
        <w:rFonts w:ascii="Symbol" w:hAnsi="Symbol"/>
      </w:rPr>
    </w:lvl>
    <w:lvl w:ilvl="4" w:tplc="5508AC86">
      <w:start w:val="1"/>
      <w:numFmt w:val="bullet"/>
      <w:lvlText w:val=""/>
      <w:lvlJc w:val="left"/>
      <w:pPr>
        <w:ind w:left="720" w:hanging="360"/>
      </w:pPr>
      <w:rPr>
        <w:rFonts w:ascii="Symbol" w:hAnsi="Symbol"/>
      </w:rPr>
    </w:lvl>
    <w:lvl w:ilvl="5" w:tplc="238E4F88">
      <w:start w:val="1"/>
      <w:numFmt w:val="bullet"/>
      <w:lvlText w:val=""/>
      <w:lvlJc w:val="left"/>
      <w:pPr>
        <w:ind w:left="720" w:hanging="360"/>
      </w:pPr>
      <w:rPr>
        <w:rFonts w:ascii="Symbol" w:hAnsi="Symbol"/>
      </w:rPr>
    </w:lvl>
    <w:lvl w:ilvl="6" w:tplc="75D25542">
      <w:start w:val="1"/>
      <w:numFmt w:val="bullet"/>
      <w:lvlText w:val=""/>
      <w:lvlJc w:val="left"/>
      <w:pPr>
        <w:ind w:left="720" w:hanging="360"/>
      </w:pPr>
      <w:rPr>
        <w:rFonts w:ascii="Symbol" w:hAnsi="Symbol"/>
      </w:rPr>
    </w:lvl>
    <w:lvl w:ilvl="7" w:tplc="1564E658">
      <w:start w:val="1"/>
      <w:numFmt w:val="bullet"/>
      <w:lvlText w:val=""/>
      <w:lvlJc w:val="left"/>
      <w:pPr>
        <w:ind w:left="720" w:hanging="360"/>
      </w:pPr>
      <w:rPr>
        <w:rFonts w:ascii="Symbol" w:hAnsi="Symbol"/>
      </w:rPr>
    </w:lvl>
    <w:lvl w:ilvl="8" w:tplc="56A8D1E0">
      <w:start w:val="1"/>
      <w:numFmt w:val="bullet"/>
      <w:lvlText w:val=""/>
      <w:lvlJc w:val="left"/>
      <w:pPr>
        <w:ind w:left="720" w:hanging="360"/>
      </w:pPr>
      <w:rPr>
        <w:rFonts w:ascii="Symbol" w:hAnsi="Symbol"/>
      </w:rPr>
    </w:lvl>
  </w:abstractNum>
  <w:abstractNum w:abstractNumId="5" w15:restartNumberingAfterBreak="0">
    <w:nsid w:val="15A76EF7"/>
    <w:multiLevelType w:val="hybridMultilevel"/>
    <w:tmpl w:val="55F2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61F6A"/>
    <w:multiLevelType w:val="hybridMultilevel"/>
    <w:tmpl w:val="DA6E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D0F36"/>
    <w:multiLevelType w:val="hybridMultilevel"/>
    <w:tmpl w:val="8E5E3AC4"/>
    <w:lvl w:ilvl="0" w:tplc="C0C24CB8">
      <w:start w:val="1"/>
      <w:numFmt w:val="bullet"/>
      <w:lvlText w:val=""/>
      <w:lvlJc w:val="left"/>
      <w:pPr>
        <w:ind w:left="720" w:hanging="360"/>
      </w:pPr>
      <w:rPr>
        <w:rFonts w:ascii="Symbol" w:hAnsi="Symbol"/>
      </w:rPr>
    </w:lvl>
    <w:lvl w:ilvl="1" w:tplc="C7B04B52">
      <w:start w:val="1"/>
      <w:numFmt w:val="bullet"/>
      <w:lvlText w:val=""/>
      <w:lvlJc w:val="left"/>
      <w:pPr>
        <w:ind w:left="720" w:hanging="360"/>
      </w:pPr>
      <w:rPr>
        <w:rFonts w:ascii="Symbol" w:hAnsi="Symbol"/>
      </w:rPr>
    </w:lvl>
    <w:lvl w:ilvl="2" w:tplc="EE3CF544">
      <w:start w:val="1"/>
      <w:numFmt w:val="bullet"/>
      <w:lvlText w:val=""/>
      <w:lvlJc w:val="left"/>
      <w:pPr>
        <w:ind w:left="720" w:hanging="360"/>
      </w:pPr>
      <w:rPr>
        <w:rFonts w:ascii="Symbol" w:hAnsi="Symbol"/>
      </w:rPr>
    </w:lvl>
    <w:lvl w:ilvl="3" w:tplc="D21C0C0C">
      <w:start w:val="1"/>
      <w:numFmt w:val="bullet"/>
      <w:lvlText w:val=""/>
      <w:lvlJc w:val="left"/>
      <w:pPr>
        <w:ind w:left="720" w:hanging="360"/>
      </w:pPr>
      <w:rPr>
        <w:rFonts w:ascii="Symbol" w:hAnsi="Symbol"/>
      </w:rPr>
    </w:lvl>
    <w:lvl w:ilvl="4" w:tplc="82EC37BC">
      <w:start w:val="1"/>
      <w:numFmt w:val="bullet"/>
      <w:lvlText w:val=""/>
      <w:lvlJc w:val="left"/>
      <w:pPr>
        <w:ind w:left="720" w:hanging="360"/>
      </w:pPr>
      <w:rPr>
        <w:rFonts w:ascii="Symbol" w:hAnsi="Symbol"/>
      </w:rPr>
    </w:lvl>
    <w:lvl w:ilvl="5" w:tplc="8E249C90">
      <w:start w:val="1"/>
      <w:numFmt w:val="bullet"/>
      <w:lvlText w:val=""/>
      <w:lvlJc w:val="left"/>
      <w:pPr>
        <w:ind w:left="720" w:hanging="360"/>
      </w:pPr>
      <w:rPr>
        <w:rFonts w:ascii="Symbol" w:hAnsi="Symbol"/>
      </w:rPr>
    </w:lvl>
    <w:lvl w:ilvl="6" w:tplc="C9D46DE0">
      <w:start w:val="1"/>
      <w:numFmt w:val="bullet"/>
      <w:lvlText w:val=""/>
      <w:lvlJc w:val="left"/>
      <w:pPr>
        <w:ind w:left="720" w:hanging="360"/>
      </w:pPr>
      <w:rPr>
        <w:rFonts w:ascii="Symbol" w:hAnsi="Symbol"/>
      </w:rPr>
    </w:lvl>
    <w:lvl w:ilvl="7" w:tplc="9F2259F6">
      <w:start w:val="1"/>
      <w:numFmt w:val="bullet"/>
      <w:lvlText w:val=""/>
      <w:lvlJc w:val="left"/>
      <w:pPr>
        <w:ind w:left="720" w:hanging="360"/>
      </w:pPr>
      <w:rPr>
        <w:rFonts w:ascii="Symbol" w:hAnsi="Symbol"/>
      </w:rPr>
    </w:lvl>
    <w:lvl w:ilvl="8" w:tplc="852EB8DC">
      <w:start w:val="1"/>
      <w:numFmt w:val="bullet"/>
      <w:lvlText w:val=""/>
      <w:lvlJc w:val="left"/>
      <w:pPr>
        <w:ind w:left="720" w:hanging="360"/>
      </w:pPr>
      <w:rPr>
        <w:rFonts w:ascii="Symbol" w:hAnsi="Symbol"/>
      </w:rPr>
    </w:lvl>
  </w:abstractNum>
  <w:abstractNum w:abstractNumId="8" w15:restartNumberingAfterBreak="0">
    <w:nsid w:val="24342735"/>
    <w:multiLevelType w:val="hybridMultilevel"/>
    <w:tmpl w:val="1C32F6D4"/>
    <w:lvl w:ilvl="0" w:tplc="DB781F1E">
      <w:numFmt w:val="bullet"/>
      <w:lvlText w:val="-"/>
      <w:lvlJc w:val="left"/>
      <w:pPr>
        <w:ind w:left="720" w:hanging="360"/>
      </w:pPr>
      <w:rPr>
        <w:rFonts w:ascii="Ping LCG Regular" w:eastAsiaTheme="minorHAnsi" w:hAnsi="Ping LCG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C727F"/>
    <w:multiLevelType w:val="hybridMultilevel"/>
    <w:tmpl w:val="A5C2B7DE"/>
    <w:lvl w:ilvl="0" w:tplc="9EDCC9D4">
      <w:start w:val="1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EF1D79"/>
    <w:multiLevelType w:val="hybridMultilevel"/>
    <w:tmpl w:val="A2DEC630"/>
    <w:lvl w:ilvl="0" w:tplc="4F0A8AD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AC7773"/>
    <w:multiLevelType w:val="hybridMultilevel"/>
    <w:tmpl w:val="7A601456"/>
    <w:lvl w:ilvl="0" w:tplc="714A9320">
      <w:start w:val="1"/>
      <w:numFmt w:val="bullet"/>
      <w:lvlText w:val=""/>
      <w:lvlJc w:val="left"/>
      <w:pPr>
        <w:ind w:left="720" w:hanging="360"/>
      </w:pPr>
      <w:rPr>
        <w:rFonts w:ascii="Symbol" w:hAnsi="Symbol"/>
      </w:rPr>
    </w:lvl>
    <w:lvl w:ilvl="1" w:tplc="DAC07072">
      <w:start w:val="1"/>
      <w:numFmt w:val="bullet"/>
      <w:lvlText w:val=""/>
      <w:lvlJc w:val="left"/>
      <w:pPr>
        <w:ind w:left="720" w:hanging="360"/>
      </w:pPr>
      <w:rPr>
        <w:rFonts w:ascii="Symbol" w:hAnsi="Symbol"/>
      </w:rPr>
    </w:lvl>
    <w:lvl w:ilvl="2" w:tplc="28A23BBC">
      <w:start w:val="1"/>
      <w:numFmt w:val="bullet"/>
      <w:lvlText w:val=""/>
      <w:lvlJc w:val="left"/>
      <w:pPr>
        <w:ind w:left="720" w:hanging="360"/>
      </w:pPr>
      <w:rPr>
        <w:rFonts w:ascii="Symbol" w:hAnsi="Symbol"/>
      </w:rPr>
    </w:lvl>
    <w:lvl w:ilvl="3" w:tplc="0B841056">
      <w:start w:val="1"/>
      <w:numFmt w:val="bullet"/>
      <w:lvlText w:val=""/>
      <w:lvlJc w:val="left"/>
      <w:pPr>
        <w:ind w:left="720" w:hanging="360"/>
      </w:pPr>
      <w:rPr>
        <w:rFonts w:ascii="Symbol" w:hAnsi="Symbol"/>
      </w:rPr>
    </w:lvl>
    <w:lvl w:ilvl="4" w:tplc="FC82C76E">
      <w:start w:val="1"/>
      <w:numFmt w:val="bullet"/>
      <w:lvlText w:val=""/>
      <w:lvlJc w:val="left"/>
      <w:pPr>
        <w:ind w:left="720" w:hanging="360"/>
      </w:pPr>
      <w:rPr>
        <w:rFonts w:ascii="Symbol" w:hAnsi="Symbol"/>
      </w:rPr>
    </w:lvl>
    <w:lvl w:ilvl="5" w:tplc="547EB6E8">
      <w:start w:val="1"/>
      <w:numFmt w:val="bullet"/>
      <w:lvlText w:val=""/>
      <w:lvlJc w:val="left"/>
      <w:pPr>
        <w:ind w:left="720" w:hanging="360"/>
      </w:pPr>
      <w:rPr>
        <w:rFonts w:ascii="Symbol" w:hAnsi="Symbol"/>
      </w:rPr>
    </w:lvl>
    <w:lvl w:ilvl="6" w:tplc="831AF712">
      <w:start w:val="1"/>
      <w:numFmt w:val="bullet"/>
      <w:lvlText w:val=""/>
      <w:lvlJc w:val="left"/>
      <w:pPr>
        <w:ind w:left="720" w:hanging="360"/>
      </w:pPr>
      <w:rPr>
        <w:rFonts w:ascii="Symbol" w:hAnsi="Symbol"/>
      </w:rPr>
    </w:lvl>
    <w:lvl w:ilvl="7" w:tplc="2800D586">
      <w:start w:val="1"/>
      <w:numFmt w:val="bullet"/>
      <w:lvlText w:val=""/>
      <w:lvlJc w:val="left"/>
      <w:pPr>
        <w:ind w:left="720" w:hanging="360"/>
      </w:pPr>
      <w:rPr>
        <w:rFonts w:ascii="Symbol" w:hAnsi="Symbol"/>
      </w:rPr>
    </w:lvl>
    <w:lvl w:ilvl="8" w:tplc="33D61CF6">
      <w:start w:val="1"/>
      <w:numFmt w:val="bullet"/>
      <w:lvlText w:val=""/>
      <w:lvlJc w:val="left"/>
      <w:pPr>
        <w:ind w:left="720" w:hanging="360"/>
      </w:pPr>
      <w:rPr>
        <w:rFonts w:ascii="Symbol" w:hAnsi="Symbol"/>
      </w:rPr>
    </w:lvl>
  </w:abstractNum>
  <w:abstractNum w:abstractNumId="12" w15:restartNumberingAfterBreak="0">
    <w:nsid w:val="485D58DC"/>
    <w:multiLevelType w:val="hybridMultilevel"/>
    <w:tmpl w:val="886C0C90"/>
    <w:lvl w:ilvl="0" w:tplc="6DD872AE">
      <w:start w:val="1"/>
      <w:numFmt w:val="bullet"/>
      <w:lvlText w:val=""/>
      <w:lvlJc w:val="left"/>
      <w:pPr>
        <w:ind w:left="720" w:hanging="360"/>
      </w:pPr>
      <w:rPr>
        <w:rFonts w:ascii="Symbol" w:hAnsi="Symbol"/>
      </w:rPr>
    </w:lvl>
    <w:lvl w:ilvl="1" w:tplc="EF60CA7E">
      <w:start w:val="1"/>
      <w:numFmt w:val="bullet"/>
      <w:lvlText w:val=""/>
      <w:lvlJc w:val="left"/>
      <w:pPr>
        <w:ind w:left="720" w:hanging="360"/>
      </w:pPr>
      <w:rPr>
        <w:rFonts w:ascii="Symbol" w:hAnsi="Symbol"/>
      </w:rPr>
    </w:lvl>
    <w:lvl w:ilvl="2" w:tplc="DC6CABD4">
      <w:start w:val="1"/>
      <w:numFmt w:val="bullet"/>
      <w:lvlText w:val=""/>
      <w:lvlJc w:val="left"/>
      <w:pPr>
        <w:ind w:left="720" w:hanging="360"/>
      </w:pPr>
      <w:rPr>
        <w:rFonts w:ascii="Symbol" w:hAnsi="Symbol"/>
      </w:rPr>
    </w:lvl>
    <w:lvl w:ilvl="3" w:tplc="5D085A9E">
      <w:start w:val="1"/>
      <w:numFmt w:val="bullet"/>
      <w:lvlText w:val=""/>
      <w:lvlJc w:val="left"/>
      <w:pPr>
        <w:ind w:left="720" w:hanging="360"/>
      </w:pPr>
      <w:rPr>
        <w:rFonts w:ascii="Symbol" w:hAnsi="Symbol"/>
      </w:rPr>
    </w:lvl>
    <w:lvl w:ilvl="4" w:tplc="E600206A">
      <w:start w:val="1"/>
      <w:numFmt w:val="bullet"/>
      <w:lvlText w:val=""/>
      <w:lvlJc w:val="left"/>
      <w:pPr>
        <w:ind w:left="720" w:hanging="360"/>
      </w:pPr>
      <w:rPr>
        <w:rFonts w:ascii="Symbol" w:hAnsi="Symbol"/>
      </w:rPr>
    </w:lvl>
    <w:lvl w:ilvl="5" w:tplc="C29EA2B2">
      <w:start w:val="1"/>
      <w:numFmt w:val="bullet"/>
      <w:lvlText w:val=""/>
      <w:lvlJc w:val="left"/>
      <w:pPr>
        <w:ind w:left="720" w:hanging="360"/>
      </w:pPr>
      <w:rPr>
        <w:rFonts w:ascii="Symbol" w:hAnsi="Symbol"/>
      </w:rPr>
    </w:lvl>
    <w:lvl w:ilvl="6" w:tplc="0DCC9644">
      <w:start w:val="1"/>
      <w:numFmt w:val="bullet"/>
      <w:lvlText w:val=""/>
      <w:lvlJc w:val="left"/>
      <w:pPr>
        <w:ind w:left="720" w:hanging="360"/>
      </w:pPr>
      <w:rPr>
        <w:rFonts w:ascii="Symbol" w:hAnsi="Symbol"/>
      </w:rPr>
    </w:lvl>
    <w:lvl w:ilvl="7" w:tplc="27380D48">
      <w:start w:val="1"/>
      <w:numFmt w:val="bullet"/>
      <w:lvlText w:val=""/>
      <w:lvlJc w:val="left"/>
      <w:pPr>
        <w:ind w:left="720" w:hanging="360"/>
      </w:pPr>
      <w:rPr>
        <w:rFonts w:ascii="Symbol" w:hAnsi="Symbol"/>
      </w:rPr>
    </w:lvl>
    <w:lvl w:ilvl="8" w:tplc="F77044CE">
      <w:start w:val="1"/>
      <w:numFmt w:val="bullet"/>
      <w:lvlText w:val=""/>
      <w:lvlJc w:val="left"/>
      <w:pPr>
        <w:ind w:left="720" w:hanging="360"/>
      </w:pPr>
      <w:rPr>
        <w:rFonts w:ascii="Symbol" w:hAnsi="Symbol"/>
      </w:rPr>
    </w:lvl>
  </w:abstractNum>
  <w:abstractNum w:abstractNumId="13" w15:restartNumberingAfterBreak="0">
    <w:nsid w:val="52048C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3CF38C4"/>
    <w:multiLevelType w:val="hybridMultilevel"/>
    <w:tmpl w:val="0A408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F9610B"/>
    <w:multiLevelType w:val="hybridMultilevel"/>
    <w:tmpl w:val="A0DCAA9C"/>
    <w:lvl w:ilvl="0" w:tplc="5AF862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5F0A46"/>
    <w:multiLevelType w:val="hybridMultilevel"/>
    <w:tmpl w:val="5718C70C"/>
    <w:lvl w:ilvl="0" w:tplc="9B92B656">
      <w:start w:val="1"/>
      <w:numFmt w:val="bullet"/>
      <w:lvlText w:val="n"/>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B322877"/>
    <w:multiLevelType w:val="hybridMultilevel"/>
    <w:tmpl w:val="5F246BE4"/>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DE707D9"/>
    <w:multiLevelType w:val="hybridMultilevel"/>
    <w:tmpl w:val="84DA23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2B4092"/>
    <w:multiLevelType w:val="hybridMultilevel"/>
    <w:tmpl w:val="C3369D3A"/>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28B7D05"/>
    <w:multiLevelType w:val="hybridMultilevel"/>
    <w:tmpl w:val="C382F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776108"/>
    <w:multiLevelType w:val="hybridMultilevel"/>
    <w:tmpl w:val="678037EA"/>
    <w:lvl w:ilvl="0" w:tplc="9B92B656">
      <w:start w:val="1"/>
      <w:numFmt w:val="bullet"/>
      <w:lvlText w:val="n"/>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5032382">
    <w:abstractNumId w:val="18"/>
  </w:num>
  <w:num w:numId="2" w16cid:durableId="542209210">
    <w:abstractNumId w:val="16"/>
  </w:num>
  <w:num w:numId="3" w16cid:durableId="689646081">
    <w:abstractNumId w:val="21"/>
  </w:num>
  <w:num w:numId="4" w16cid:durableId="1604342890">
    <w:abstractNumId w:val="17"/>
  </w:num>
  <w:num w:numId="5" w16cid:durableId="1900900844">
    <w:abstractNumId w:val="19"/>
  </w:num>
  <w:num w:numId="6" w16cid:durableId="661660842">
    <w:abstractNumId w:val="0"/>
  </w:num>
  <w:num w:numId="7" w16cid:durableId="1574581921">
    <w:abstractNumId w:val="1"/>
  </w:num>
  <w:num w:numId="8" w16cid:durableId="1417750542">
    <w:abstractNumId w:val="17"/>
  </w:num>
  <w:num w:numId="9" w16cid:durableId="167446193">
    <w:abstractNumId w:val="8"/>
  </w:num>
  <w:num w:numId="10" w16cid:durableId="625352236">
    <w:abstractNumId w:val="20"/>
  </w:num>
  <w:num w:numId="11" w16cid:durableId="961695150">
    <w:abstractNumId w:val="5"/>
  </w:num>
  <w:num w:numId="12" w16cid:durableId="160629590">
    <w:abstractNumId w:val="14"/>
  </w:num>
  <w:num w:numId="13" w16cid:durableId="1317878920">
    <w:abstractNumId w:val="3"/>
  </w:num>
  <w:num w:numId="14" w16cid:durableId="1662345728">
    <w:abstractNumId w:val="9"/>
  </w:num>
  <w:num w:numId="15" w16cid:durableId="627929397">
    <w:abstractNumId w:val="15"/>
  </w:num>
  <w:num w:numId="16" w16cid:durableId="1509326642">
    <w:abstractNumId w:val="10"/>
  </w:num>
  <w:num w:numId="17" w16cid:durableId="2032368816">
    <w:abstractNumId w:val="12"/>
  </w:num>
  <w:num w:numId="18" w16cid:durableId="632635270">
    <w:abstractNumId w:val="13"/>
  </w:num>
  <w:num w:numId="19" w16cid:durableId="126973774">
    <w:abstractNumId w:val="4"/>
  </w:num>
  <w:num w:numId="20" w16cid:durableId="997656533">
    <w:abstractNumId w:val="7"/>
  </w:num>
  <w:num w:numId="21" w16cid:durableId="707530389">
    <w:abstractNumId w:val="11"/>
  </w:num>
  <w:num w:numId="22" w16cid:durableId="1320695721">
    <w:abstractNumId w:val="2"/>
  </w:num>
  <w:num w:numId="23" w16cid:durableId="1708410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2F"/>
    <w:rsid w:val="00000B90"/>
    <w:rsid w:val="00000EE3"/>
    <w:rsid w:val="000012B6"/>
    <w:rsid w:val="00001D4A"/>
    <w:rsid w:val="0000389A"/>
    <w:rsid w:val="00004105"/>
    <w:rsid w:val="0000421A"/>
    <w:rsid w:val="00005178"/>
    <w:rsid w:val="00005624"/>
    <w:rsid w:val="00005871"/>
    <w:rsid w:val="00005B4C"/>
    <w:rsid w:val="00005E9F"/>
    <w:rsid w:val="000063DF"/>
    <w:rsid w:val="000068B2"/>
    <w:rsid w:val="00006AE6"/>
    <w:rsid w:val="00006F1F"/>
    <w:rsid w:val="00007045"/>
    <w:rsid w:val="0000717C"/>
    <w:rsid w:val="0000730B"/>
    <w:rsid w:val="00007361"/>
    <w:rsid w:val="000078B3"/>
    <w:rsid w:val="000101DB"/>
    <w:rsid w:val="00010801"/>
    <w:rsid w:val="0001112B"/>
    <w:rsid w:val="00011963"/>
    <w:rsid w:val="00011FD0"/>
    <w:rsid w:val="000123F3"/>
    <w:rsid w:val="0001309B"/>
    <w:rsid w:val="00013A9A"/>
    <w:rsid w:val="0001421E"/>
    <w:rsid w:val="00014624"/>
    <w:rsid w:val="00015B62"/>
    <w:rsid w:val="000164ED"/>
    <w:rsid w:val="000165C2"/>
    <w:rsid w:val="000168AF"/>
    <w:rsid w:val="000169EA"/>
    <w:rsid w:val="00017297"/>
    <w:rsid w:val="00020680"/>
    <w:rsid w:val="00020966"/>
    <w:rsid w:val="00020A98"/>
    <w:rsid w:val="0002120E"/>
    <w:rsid w:val="00021C80"/>
    <w:rsid w:val="00021EE8"/>
    <w:rsid w:val="00022D76"/>
    <w:rsid w:val="000234AD"/>
    <w:rsid w:val="00023D14"/>
    <w:rsid w:val="000243CD"/>
    <w:rsid w:val="000247EA"/>
    <w:rsid w:val="00024C0E"/>
    <w:rsid w:val="000258D9"/>
    <w:rsid w:val="0002671F"/>
    <w:rsid w:val="000269AF"/>
    <w:rsid w:val="00027292"/>
    <w:rsid w:val="000278E0"/>
    <w:rsid w:val="0002791D"/>
    <w:rsid w:val="0003011A"/>
    <w:rsid w:val="00030616"/>
    <w:rsid w:val="00030A10"/>
    <w:rsid w:val="00030C1E"/>
    <w:rsid w:val="00030D67"/>
    <w:rsid w:val="00031284"/>
    <w:rsid w:val="0003161F"/>
    <w:rsid w:val="000318E5"/>
    <w:rsid w:val="00031F40"/>
    <w:rsid w:val="00033953"/>
    <w:rsid w:val="00034203"/>
    <w:rsid w:val="000342E8"/>
    <w:rsid w:val="00034BBF"/>
    <w:rsid w:val="00034F16"/>
    <w:rsid w:val="000352F3"/>
    <w:rsid w:val="000357C4"/>
    <w:rsid w:val="00035927"/>
    <w:rsid w:val="000359BE"/>
    <w:rsid w:val="00035FE1"/>
    <w:rsid w:val="0003604A"/>
    <w:rsid w:val="000361E0"/>
    <w:rsid w:val="00036368"/>
    <w:rsid w:val="00036594"/>
    <w:rsid w:val="0003691C"/>
    <w:rsid w:val="0003707B"/>
    <w:rsid w:val="000373CD"/>
    <w:rsid w:val="0003750C"/>
    <w:rsid w:val="0003794A"/>
    <w:rsid w:val="00037A1F"/>
    <w:rsid w:val="00037AAB"/>
    <w:rsid w:val="00037BFC"/>
    <w:rsid w:val="00037CB7"/>
    <w:rsid w:val="00040330"/>
    <w:rsid w:val="00040371"/>
    <w:rsid w:val="00040547"/>
    <w:rsid w:val="000409CC"/>
    <w:rsid w:val="00040BAE"/>
    <w:rsid w:val="00040F50"/>
    <w:rsid w:val="00040FC6"/>
    <w:rsid w:val="000410BA"/>
    <w:rsid w:val="0004150D"/>
    <w:rsid w:val="0004155E"/>
    <w:rsid w:val="00041F1F"/>
    <w:rsid w:val="000420FB"/>
    <w:rsid w:val="0004234F"/>
    <w:rsid w:val="00042BBA"/>
    <w:rsid w:val="00043E1D"/>
    <w:rsid w:val="000441CA"/>
    <w:rsid w:val="00044B43"/>
    <w:rsid w:val="0004552A"/>
    <w:rsid w:val="00045BDC"/>
    <w:rsid w:val="00045E47"/>
    <w:rsid w:val="000466CD"/>
    <w:rsid w:val="00046EE0"/>
    <w:rsid w:val="00046F32"/>
    <w:rsid w:val="0005002E"/>
    <w:rsid w:val="00050545"/>
    <w:rsid w:val="00050B1E"/>
    <w:rsid w:val="00051089"/>
    <w:rsid w:val="000518AA"/>
    <w:rsid w:val="000518E9"/>
    <w:rsid w:val="00051F5D"/>
    <w:rsid w:val="0005251A"/>
    <w:rsid w:val="00052663"/>
    <w:rsid w:val="00053987"/>
    <w:rsid w:val="00053B59"/>
    <w:rsid w:val="00054068"/>
    <w:rsid w:val="000543A8"/>
    <w:rsid w:val="0005464C"/>
    <w:rsid w:val="00055634"/>
    <w:rsid w:val="000556A6"/>
    <w:rsid w:val="00056356"/>
    <w:rsid w:val="00056391"/>
    <w:rsid w:val="00056928"/>
    <w:rsid w:val="00057401"/>
    <w:rsid w:val="00057EDA"/>
    <w:rsid w:val="000601A4"/>
    <w:rsid w:val="000601F9"/>
    <w:rsid w:val="000605A7"/>
    <w:rsid w:val="00061290"/>
    <w:rsid w:val="00061728"/>
    <w:rsid w:val="000617E6"/>
    <w:rsid w:val="00062316"/>
    <w:rsid w:val="0006269A"/>
    <w:rsid w:val="000629E4"/>
    <w:rsid w:val="0006337B"/>
    <w:rsid w:val="00063407"/>
    <w:rsid w:val="000637A1"/>
    <w:rsid w:val="000639AB"/>
    <w:rsid w:val="00063B17"/>
    <w:rsid w:val="00063DA7"/>
    <w:rsid w:val="00063E65"/>
    <w:rsid w:val="000640E7"/>
    <w:rsid w:val="0006441B"/>
    <w:rsid w:val="000644F2"/>
    <w:rsid w:val="0006452A"/>
    <w:rsid w:val="0006466A"/>
    <w:rsid w:val="000653CD"/>
    <w:rsid w:val="000654F5"/>
    <w:rsid w:val="00065771"/>
    <w:rsid w:val="000659E5"/>
    <w:rsid w:val="00066200"/>
    <w:rsid w:val="000700FC"/>
    <w:rsid w:val="00070772"/>
    <w:rsid w:val="00070802"/>
    <w:rsid w:val="00070DBB"/>
    <w:rsid w:val="00071088"/>
    <w:rsid w:val="00071661"/>
    <w:rsid w:val="00071D88"/>
    <w:rsid w:val="00071F1D"/>
    <w:rsid w:val="00072349"/>
    <w:rsid w:val="00072957"/>
    <w:rsid w:val="00072974"/>
    <w:rsid w:val="00072BE3"/>
    <w:rsid w:val="00073206"/>
    <w:rsid w:val="0007354E"/>
    <w:rsid w:val="00073A06"/>
    <w:rsid w:val="00073E97"/>
    <w:rsid w:val="00073F0A"/>
    <w:rsid w:val="0007492C"/>
    <w:rsid w:val="0007496B"/>
    <w:rsid w:val="00074ADA"/>
    <w:rsid w:val="00074D34"/>
    <w:rsid w:val="00075A52"/>
    <w:rsid w:val="00075F75"/>
    <w:rsid w:val="00076678"/>
    <w:rsid w:val="000766EE"/>
    <w:rsid w:val="0007681F"/>
    <w:rsid w:val="0007684C"/>
    <w:rsid w:val="00076DA3"/>
    <w:rsid w:val="00077CF2"/>
    <w:rsid w:val="00077F74"/>
    <w:rsid w:val="0008062F"/>
    <w:rsid w:val="00080A08"/>
    <w:rsid w:val="00080CC5"/>
    <w:rsid w:val="00080FC7"/>
    <w:rsid w:val="00080FC8"/>
    <w:rsid w:val="00080FDE"/>
    <w:rsid w:val="0008133F"/>
    <w:rsid w:val="000817FA"/>
    <w:rsid w:val="0008194D"/>
    <w:rsid w:val="00081E12"/>
    <w:rsid w:val="0008244C"/>
    <w:rsid w:val="00084368"/>
    <w:rsid w:val="00084F67"/>
    <w:rsid w:val="00085A07"/>
    <w:rsid w:val="00085F3C"/>
    <w:rsid w:val="0008681E"/>
    <w:rsid w:val="00086F77"/>
    <w:rsid w:val="000873B5"/>
    <w:rsid w:val="000903DA"/>
    <w:rsid w:val="00090A25"/>
    <w:rsid w:val="00090EBD"/>
    <w:rsid w:val="00090F06"/>
    <w:rsid w:val="0009108B"/>
    <w:rsid w:val="00091714"/>
    <w:rsid w:val="00091869"/>
    <w:rsid w:val="00091B71"/>
    <w:rsid w:val="00091DB9"/>
    <w:rsid w:val="00092142"/>
    <w:rsid w:val="00092366"/>
    <w:rsid w:val="00092392"/>
    <w:rsid w:val="00092432"/>
    <w:rsid w:val="00092D10"/>
    <w:rsid w:val="00092D74"/>
    <w:rsid w:val="00092D85"/>
    <w:rsid w:val="000930F1"/>
    <w:rsid w:val="00093DB5"/>
    <w:rsid w:val="00094322"/>
    <w:rsid w:val="0009469D"/>
    <w:rsid w:val="0009479C"/>
    <w:rsid w:val="0009495F"/>
    <w:rsid w:val="00094AA8"/>
    <w:rsid w:val="00094F95"/>
    <w:rsid w:val="000956DB"/>
    <w:rsid w:val="00095AFB"/>
    <w:rsid w:val="00095C53"/>
    <w:rsid w:val="00096107"/>
    <w:rsid w:val="000968F4"/>
    <w:rsid w:val="00096C95"/>
    <w:rsid w:val="000A0136"/>
    <w:rsid w:val="000A02F1"/>
    <w:rsid w:val="000A06DC"/>
    <w:rsid w:val="000A081A"/>
    <w:rsid w:val="000A094C"/>
    <w:rsid w:val="000A0B1C"/>
    <w:rsid w:val="000A192E"/>
    <w:rsid w:val="000A198E"/>
    <w:rsid w:val="000A2414"/>
    <w:rsid w:val="000A26D2"/>
    <w:rsid w:val="000A26FF"/>
    <w:rsid w:val="000A2D31"/>
    <w:rsid w:val="000A2EEE"/>
    <w:rsid w:val="000A3229"/>
    <w:rsid w:val="000A36EE"/>
    <w:rsid w:val="000A3B4B"/>
    <w:rsid w:val="000A3F52"/>
    <w:rsid w:val="000A407F"/>
    <w:rsid w:val="000A4536"/>
    <w:rsid w:val="000A4537"/>
    <w:rsid w:val="000A4E7E"/>
    <w:rsid w:val="000A5BEB"/>
    <w:rsid w:val="000A5CA6"/>
    <w:rsid w:val="000A60A4"/>
    <w:rsid w:val="000A6531"/>
    <w:rsid w:val="000A68B2"/>
    <w:rsid w:val="000A6C47"/>
    <w:rsid w:val="000A72F6"/>
    <w:rsid w:val="000A7890"/>
    <w:rsid w:val="000A789B"/>
    <w:rsid w:val="000A7E98"/>
    <w:rsid w:val="000B0353"/>
    <w:rsid w:val="000B07A5"/>
    <w:rsid w:val="000B09B8"/>
    <w:rsid w:val="000B1022"/>
    <w:rsid w:val="000B186F"/>
    <w:rsid w:val="000B19A1"/>
    <w:rsid w:val="000B1E4F"/>
    <w:rsid w:val="000B2397"/>
    <w:rsid w:val="000B2640"/>
    <w:rsid w:val="000B2EE4"/>
    <w:rsid w:val="000B38C4"/>
    <w:rsid w:val="000B3A22"/>
    <w:rsid w:val="000B4186"/>
    <w:rsid w:val="000B4769"/>
    <w:rsid w:val="000B493C"/>
    <w:rsid w:val="000B4BFE"/>
    <w:rsid w:val="000B4CED"/>
    <w:rsid w:val="000B4D7F"/>
    <w:rsid w:val="000B51C4"/>
    <w:rsid w:val="000B54A7"/>
    <w:rsid w:val="000B5524"/>
    <w:rsid w:val="000B5A39"/>
    <w:rsid w:val="000B5C5F"/>
    <w:rsid w:val="000B60CB"/>
    <w:rsid w:val="000B62EA"/>
    <w:rsid w:val="000B699B"/>
    <w:rsid w:val="000B6BE6"/>
    <w:rsid w:val="000B70F2"/>
    <w:rsid w:val="000B7855"/>
    <w:rsid w:val="000B7B06"/>
    <w:rsid w:val="000C01E1"/>
    <w:rsid w:val="000C023B"/>
    <w:rsid w:val="000C03A8"/>
    <w:rsid w:val="000C04F0"/>
    <w:rsid w:val="000C0625"/>
    <w:rsid w:val="000C0F50"/>
    <w:rsid w:val="000C12C5"/>
    <w:rsid w:val="000C1614"/>
    <w:rsid w:val="000C1FE1"/>
    <w:rsid w:val="000C23A6"/>
    <w:rsid w:val="000C37D8"/>
    <w:rsid w:val="000C3A90"/>
    <w:rsid w:val="000C3E2F"/>
    <w:rsid w:val="000C438C"/>
    <w:rsid w:val="000C45BE"/>
    <w:rsid w:val="000C4A38"/>
    <w:rsid w:val="000C4B74"/>
    <w:rsid w:val="000C5579"/>
    <w:rsid w:val="000C60EB"/>
    <w:rsid w:val="000C64FD"/>
    <w:rsid w:val="000C7235"/>
    <w:rsid w:val="000C7A5D"/>
    <w:rsid w:val="000D01A3"/>
    <w:rsid w:val="000D0325"/>
    <w:rsid w:val="000D0865"/>
    <w:rsid w:val="000D0AFD"/>
    <w:rsid w:val="000D0D0F"/>
    <w:rsid w:val="000D0E83"/>
    <w:rsid w:val="000D11C1"/>
    <w:rsid w:val="000D1A8D"/>
    <w:rsid w:val="000D1D0E"/>
    <w:rsid w:val="000D1F89"/>
    <w:rsid w:val="000D1FE0"/>
    <w:rsid w:val="000D28C8"/>
    <w:rsid w:val="000D35B3"/>
    <w:rsid w:val="000D3D64"/>
    <w:rsid w:val="000D3DFA"/>
    <w:rsid w:val="000D4319"/>
    <w:rsid w:val="000D527B"/>
    <w:rsid w:val="000D607C"/>
    <w:rsid w:val="000D65A2"/>
    <w:rsid w:val="000D6F54"/>
    <w:rsid w:val="000D7232"/>
    <w:rsid w:val="000D7375"/>
    <w:rsid w:val="000D73E1"/>
    <w:rsid w:val="000D7473"/>
    <w:rsid w:val="000D7BB4"/>
    <w:rsid w:val="000D7BF6"/>
    <w:rsid w:val="000E0162"/>
    <w:rsid w:val="000E0740"/>
    <w:rsid w:val="000E0AFF"/>
    <w:rsid w:val="000E1492"/>
    <w:rsid w:val="000E1C25"/>
    <w:rsid w:val="000E1D57"/>
    <w:rsid w:val="000E2219"/>
    <w:rsid w:val="000E29A5"/>
    <w:rsid w:val="000E342C"/>
    <w:rsid w:val="000E373D"/>
    <w:rsid w:val="000E3EDA"/>
    <w:rsid w:val="000E4553"/>
    <w:rsid w:val="000E4578"/>
    <w:rsid w:val="000E4A57"/>
    <w:rsid w:val="000E4C94"/>
    <w:rsid w:val="000E4DC2"/>
    <w:rsid w:val="000E4F47"/>
    <w:rsid w:val="000E5716"/>
    <w:rsid w:val="000E5FE8"/>
    <w:rsid w:val="000E6657"/>
    <w:rsid w:val="000E6B0A"/>
    <w:rsid w:val="000E6B26"/>
    <w:rsid w:val="000E7238"/>
    <w:rsid w:val="000E77A0"/>
    <w:rsid w:val="000E7F41"/>
    <w:rsid w:val="000E7FCF"/>
    <w:rsid w:val="000F04CF"/>
    <w:rsid w:val="000F0D00"/>
    <w:rsid w:val="000F0EFD"/>
    <w:rsid w:val="000F0FBB"/>
    <w:rsid w:val="000F13DE"/>
    <w:rsid w:val="000F154A"/>
    <w:rsid w:val="000F216D"/>
    <w:rsid w:val="000F27E4"/>
    <w:rsid w:val="000F2DD5"/>
    <w:rsid w:val="000F3233"/>
    <w:rsid w:val="000F34DC"/>
    <w:rsid w:val="000F35B8"/>
    <w:rsid w:val="000F3628"/>
    <w:rsid w:val="000F4506"/>
    <w:rsid w:val="000F50E7"/>
    <w:rsid w:val="000F55AA"/>
    <w:rsid w:val="000F6421"/>
    <w:rsid w:val="000F74BC"/>
    <w:rsid w:val="000F7B34"/>
    <w:rsid w:val="000F7DE5"/>
    <w:rsid w:val="000F7F76"/>
    <w:rsid w:val="001001C5"/>
    <w:rsid w:val="001003FC"/>
    <w:rsid w:val="00100561"/>
    <w:rsid w:val="00100F86"/>
    <w:rsid w:val="001011B4"/>
    <w:rsid w:val="001012EF"/>
    <w:rsid w:val="001019DB"/>
    <w:rsid w:val="001023C9"/>
    <w:rsid w:val="00102681"/>
    <w:rsid w:val="00102791"/>
    <w:rsid w:val="0010322C"/>
    <w:rsid w:val="0010386B"/>
    <w:rsid w:val="00103908"/>
    <w:rsid w:val="00103B28"/>
    <w:rsid w:val="00103CB6"/>
    <w:rsid w:val="00103D0A"/>
    <w:rsid w:val="0010405D"/>
    <w:rsid w:val="001051E9"/>
    <w:rsid w:val="001066E9"/>
    <w:rsid w:val="00106CE5"/>
    <w:rsid w:val="001071D1"/>
    <w:rsid w:val="001072A1"/>
    <w:rsid w:val="00107329"/>
    <w:rsid w:val="00107392"/>
    <w:rsid w:val="00107458"/>
    <w:rsid w:val="00107D17"/>
    <w:rsid w:val="001102B3"/>
    <w:rsid w:val="0011049E"/>
    <w:rsid w:val="00110A97"/>
    <w:rsid w:val="00110E04"/>
    <w:rsid w:val="00111036"/>
    <w:rsid w:val="00111274"/>
    <w:rsid w:val="001114E7"/>
    <w:rsid w:val="00111824"/>
    <w:rsid w:val="00111E3A"/>
    <w:rsid w:val="001125CC"/>
    <w:rsid w:val="00112C96"/>
    <w:rsid w:val="00113439"/>
    <w:rsid w:val="001138EB"/>
    <w:rsid w:val="00113A58"/>
    <w:rsid w:val="00114696"/>
    <w:rsid w:val="00114898"/>
    <w:rsid w:val="0011509C"/>
    <w:rsid w:val="0011549E"/>
    <w:rsid w:val="001163D9"/>
    <w:rsid w:val="00116804"/>
    <w:rsid w:val="001170DE"/>
    <w:rsid w:val="001173D5"/>
    <w:rsid w:val="0011764D"/>
    <w:rsid w:val="00117672"/>
    <w:rsid w:val="00117884"/>
    <w:rsid w:val="00117915"/>
    <w:rsid w:val="00117AD7"/>
    <w:rsid w:val="00117FB8"/>
    <w:rsid w:val="00117FD9"/>
    <w:rsid w:val="001205E4"/>
    <w:rsid w:val="00121D13"/>
    <w:rsid w:val="00121D18"/>
    <w:rsid w:val="00121E5F"/>
    <w:rsid w:val="00121F51"/>
    <w:rsid w:val="00121FE3"/>
    <w:rsid w:val="00122415"/>
    <w:rsid w:val="0012256C"/>
    <w:rsid w:val="00122AC6"/>
    <w:rsid w:val="00122AFD"/>
    <w:rsid w:val="00122E3B"/>
    <w:rsid w:val="001230C9"/>
    <w:rsid w:val="001231FF"/>
    <w:rsid w:val="001232ED"/>
    <w:rsid w:val="001234DA"/>
    <w:rsid w:val="001236B9"/>
    <w:rsid w:val="00123E1B"/>
    <w:rsid w:val="00124167"/>
    <w:rsid w:val="00124400"/>
    <w:rsid w:val="00124D2B"/>
    <w:rsid w:val="00124D96"/>
    <w:rsid w:val="00125527"/>
    <w:rsid w:val="00125B68"/>
    <w:rsid w:val="00125E6D"/>
    <w:rsid w:val="0012634E"/>
    <w:rsid w:val="00126924"/>
    <w:rsid w:val="00126B94"/>
    <w:rsid w:val="00126FC3"/>
    <w:rsid w:val="001271DB"/>
    <w:rsid w:val="00130EE4"/>
    <w:rsid w:val="00130F34"/>
    <w:rsid w:val="00131509"/>
    <w:rsid w:val="001318A5"/>
    <w:rsid w:val="00131BB3"/>
    <w:rsid w:val="00131DF7"/>
    <w:rsid w:val="001323F8"/>
    <w:rsid w:val="00132481"/>
    <w:rsid w:val="0013255B"/>
    <w:rsid w:val="00132638"/>
    <w:rsid w:val="001328AC"/>
    <w:rsid w:val="00132FFB"/>
    <w:rsid w:val="00133441"/>
    <w:rsid w:val="00133F25"/>
    <w:rsid w:val="00134057"/>
    <w:rsid w:val="00134259"/>
    <w:rsid w:val="001342C6"/>
    <w:rsid w:val="00134540"/>
    <w:rsid w:val="0013466A"/>
    <w:rsid w:val="00134781"/>
    <w:rsid w:val="00134E14"/>
    <w:rsid w:val="001354D2"/>
    <w:rsid w:val="00135A4D"/>
    <w:rsid w:val="00135E69"/>
    <w:rsid w:val="00136503"/>
    <w:rsid w:val="0014079D"/>
    <w:rsid w:val="00140A17"/>
    <w:rsid w:val="00141E8E"/>
    <w:rsid w:val="0014283C"/>
    <w:rsid w:val="001430F9"/>
    <w:rsid w:val="00143285"/>
    <w:rsid w:val="0014363A"/>
    <w:rsid w:val="00144649"/>
    <w:rsid w:val="001448D6"/>
    <w:rsid w:val="00144A1E"/>
    <w:rsid w:val="00144C29"/>
    <w:rsid w:val="00144C42"/>
    <w:rsid w:val="00144C7A"/>
    <w:rsid w:val="00144CEF"/>
    <w:rsid w:val="00144DA0"/>
    <w:rsid w:val="0014500B"/>
    <w:rsid w:val="00145DA2"/>
    <w:rsid w:val="00145F4B"/>
    <w:rsid w:val="00145FF1"/>
    <w:rsid w:val="001468F7"/>
    <w:rsid w:val="00146990"/>
    <w:rsid w:val="00146AC7"/>
    <w:rsid w:val="00147140"/>
    <w:rsid w:val="00147176"/>
    <w:rsid w:val="001504E0"/>
    <w:rsid w:val="001505F5"/>
    <w:rsid w:val="00151314"/>
    <w:rsid w:val="001516F4"/>
    <w:rsid w:val="00151EF7"/>
    <w:rsid w:val="00152247"/>
    <w:rsid w:val="001523D4"/>
    <w:rsid w:val="0015282B"/>
    <w:rsid w:val="00152B77"/>
    <w:rsid w:val="0015328A"/>
    <w:rsid w:val="001532DF"/>
    <w:rsid w:val="00153A91"/>
    <w:rsid w:val="0015446D"/>
    <w:rsid w:val="00155349"/>
    <w:rsid w:val="001553A3"/>
    <w:rsid w:val="00156525"/>
    <w:rsid w:val="001566E0"/>
    <w:rsid w:val="00156828"/>
    <w:rsid w:val="00156D4C"/>
    <w:rsid w:val="0015719E"/>
    <w:rsid w:val="0015778C"/>
    <w:rsid w:val="00157AAF"/>
    <w:rsid w:val="00160606"/>
    <w:rsid w:val="00160722"/>
    <w:rsid w:val="00160F50"/>
    <w:rsid w:val="00160FB6"/>
    <w:rsid w:val="00161969"/>
    <w:rsid w:val="00161DF9"/>
    <w:rsid w:val="00162613"/>
    <w:rsid w:val="00162E3D"/>
    <w:rsid w:val="00163043"/>
    <w:rsid w:val="001630D7"/>
    <w:rsid w:val="00163C82"/>
    <w:rsid w:val="00163CDA"/>
    <w:rsid w:val="00164638"/>
    <w:rsid w:val="00165C75"/>
    <w:rsid w:val="00165F00"/>
    <w:rsid w:val="0016613B"/>
    <w:rsid w:val="0016638B"/>
    <w:rsid w:val="00166662"/>
    <w:rsid w:val="001669F4"/>
    <w:rsid w:val="00166BA4"/>
    <w:rsid w:val="00170764"/>
    <w:rsid w:val="00170B56"/>
    <w:rsid w:val="00171077"/>
    <w:rsid w:val="001714FA"/>
    <w:rsid w:val="00171B20"/>
    <w:rsid w:val="001722D3"/>
    <w:rsid w:val="00172DD3"/>
    <w:rsid w:val="0017301B"/>
    <w:rsid w:val="00173576"/>
    <w:rsid w:val="0017396F"/>
    <w:rsid w:val="00173DCE"/>
    <w:rsid w:val="00173F0C"/>
    <w:rsid w:val="00174504"/>
    <w:rsid w:val="001746CE"/>
    <w:rsid w:val="0017486D"/>
    <w:rsid w:val="00174C59"/>
    <w:rsid w:val="00175613"/>
    <w:rsid w:val="001769B9"/>
    <w:rsid w:val="00176DA0"/>
    <w:rsid w:val="00176F2C"/>
    <w:rsid w:val="00177E97"/>
    <w:rsid w:val="00180317"/>
    <w:rsid w:val="001805D9"/>
    <w:rsid w:val="00180910"/>
    <w:rsid w:val="001810F3"/>
    <w:rsid w:val="001816CC"/>
    <w:rsid w:val="0018219E"/>
    <w:rsid w:val="00182860"/>
    <w:rsid w:val="00182D99"/>
    <w:rsid w:val="001830EF"/>
    <w:rsid w:val="00183957"/>
    <w:rsid w:val="0018443E"/>
    <w:rsid w:val="00185510"/>
    <w:rsid w:val="00185B61"/>
    <w:rsid w:val="0018622C"/>
    <w:rsid w:val="00186315"/>
    <w:rsid w:val="00186CB8"/>
    <w:rsid w:val="00186E71"/>
    <w:rsid w:val="00186EFD"/>
    <w:rsid w:val="001874AA"/>
    <w:rsid w:val="001875EA"/>
    <w:rsid w:val="0018770E"/>
    <w:rsid w:val="00187C83"/>
    <w:rsid w:val="00187D5E"/>
    <w:rsid w:val="00190214"/>
    <w:rsid w:val="00190486"/>
    <w:rsid w:val="00190D6D"/>
    <w:rsid w:val="00190EFD"/>
    <w:rsid w:val="00191D9B"/>
    <w:rsid w:val="00192181"/>
    <w:rsid w:val="00192557"/>
    <w:rsid w:val="001931C7"/>
    <w:rsid w:val="0019373F"/>
    <w:rsid w:val="00194217"/>
    <w:rsid w:val="00194326"/>
    <w:rsid w:val="001947B5"/>
    <w:rsid w:val="00194B84"/>
    <w:rsid w:val="00194DDB"/>
    <w:rsid w:val="00195264"/>
    <w:rsid w:val="00195505"/>
    <w:rsid w:val="00195544"/>
    <w:rsid w:val="00195898"/>
    <w:rsid w:val="00195C6B"/>
    <w:rsid w:val="00195E8B"/>
    <w:rsid w:val="00195F35"/>
    <w:rsid w:val="00196F62"/>
    <w:rsid w:val="00197544"/>
    <w:rsid w:val="00197BC8"/>
    <w:rsid w:val="00197DA4"/>
    <w:rsid w:val="001A0183"/>
    <w:rsid w:val="001A0662"/>
    <w:rsid w:val="001A1492"/>
    <w:rsid w:val="001A17EB"/>
    <w:rsid w:val="001A2203"/>
    <w:rsid w:val="001A2A4C"/>
    <w:rsid w:val="001A2EA2"/>
    <w:rsid w:val="001A3B5F"/>
    <w:rsid w:val="001A3BC4"/>
    <w:rsid w:val="001A4334"/>
    <w:rsid w:val="001A4A19"/>
    <w:rsid w:val="001A4D23"/>
    <w:rsid w:val="001A53DE"/>
    <w:rsid w:val="001A5B4E"/>
    <w:rsid w:val="001A5FD5"/>
    <w:rsid w:val="001A5FF3"/>
    <w:rsid w:val="001A69AB"/>
    <w:rsid w:val="001A6DF2"/>
    <w:rsid w:val="001A7283"/>
    <w:rsid w:val="001A7865"/>
    <w:rsid w:val="001B100F"/>
    <w:rsid w:val="001B1160"/>
    <w:rsid w:val="001B227E"/>
    <w:rsid w:val="001B2711"/>
    <w:rsid w:val="001B307C"/>
    <w:rsid w:val="001B3503"/>
    <w:rsid w:val="001B3EF1"/>
    <w:rsid w:val="001B40B2"/>
    <w:rsid w:val="001B40F7"/>
    <w:rsid w:val="001B41E2"/>
    <w:rsid w:val="001B446E"/>
    <w:rsid w:val="001B472B"/>
    <w:rsid w:val="001B497A"/>
    <w:rsid w:val="001B4B0F"/>
    <w:rsid w:val="001B5A37"/>
    <w:rsid w:val="001B69BA"/>
    <w:rsid w:val="001B7B83"/>
    <w:rsid w:val="001C03DF"/>
    <w:rsid w:val="001C050A"/>
    <w:rsid w:val="001C0875"/>
    <w:rsid w:val="001C14E1"/>
    <w:rsid w:val="001C15E7"/>
    <w:rsid w:val="001C1DD9"/>
    <w:rsid w:val="001C1F74"/>
    <w:rsid w:val="001C231E"/>
    <w:rsid w:val="001C277E"/>
    <w:rsid w:val="001C2830"/>
    <w:rsid w:val="001C2A1C"/>
    <w:rsid w:val="001C324D"/>
    <w:rsid w:val="001C3368"/>
    <w:rsid w:val="001C3371"/>
    <w:rsid w:val="001C3945"/>
    <w:rsid w:val="001C3E57"/>
    <w:rsid w:val="001C41B2"/>
    <w:rsid w:val="001C41CA"/>
    <w:rsid w:val="001C4373"/>
    <w:rsid w:val="001C4805"/>
    <w:rsid w:val="001C4C01"/>
    <w:rsid w:val="001C5425"/>
    <w:rsid w:val="001C562F"/>
    <w:rsid w:val="001C7096"/>
    <w:rsid w:val="001C73A8"/>
    <w:rsid w:val="001D0FB7"/>
    <w:rsid w:val="001D17B1"/>
    <w:rsid w:val="001D1992"/>
    <w:rsid w:val="001D1CCC"/>
    <w:rsid w:val="001D2111"/>
    <w:rsid w:val="001D2528"/>
    <w:rsid w:val="001D26A2"/>
    <w:rsid w:val="001D2A8F"/>
    <w:rsid w:val="001D2EE1"/>
    <w:rsid w:val="001D3164"/>
    <w:rsid w:val="001D3750"/>
    <w:rsid w:val="001D3C35"/>
    <w:rsid w:val="001D408B"/>
    <w:rsid w:val="001D4095"/>
    <w:rsid w:val="001D4303"/>
    <w:rsid w:val="001D4C24"/>
    <w:rsid w:val="001D62A3"/>
    <w:rsid w:val="001D63D8"/>
    <w:rsid w:val="001D64E4"/>
    <w:rsid w:val="001D64ED"/>
    <w:rsid w:val="001D65ED"/>
    <w:rsid w:val="001D68A4"/>
    <w:rsid w:val="001D69D3"/>
    <w:rsid w:val="001D77C1"/>
    <w:rsid w:val="001D78C6"/>
    <w:rsid w:val="001D7992"/>
    <w:rsid w:val="001D7E4A"/>
    <w:rsid w:val="001E0533"/>
    <w:rsid w:val="001E1174"/>
    <w:rsid w:val="001E1279"/>
    <w:rsid w:val="001E1445"/>
    <w:rsid w:val="001E148E"/>
    <w:rsid w:val="001E162A"/>
    <w:rsid w:val="001E1C75"/>
    <w:rsid w:val="001E2E6F"/>
    <w:rsid w:val="001E3DE2"/>
    <w:rsid w:val="001E4243"/>
    <w:rsid w:val="001E49ED"/>
    <w:rsid w:val="001E527E"/>
    <w:rsid w:val="001E5568"/>
    <w:rsid w:val="001E5697"/>
    <w:rsid w:val="001E5A59"/>
    <w:rsid w:val="001E5F57"/>
    <w:rsid w:val="001E6A00"/>
    <w:rsid w:val="001E71D4"/>
    <w:rsid w:val="001E7AD1"/>
    <w:rsid w:val="001E7DE5"/>
    <w:rsid w:val="001F07BE"/>
    <w:rsid w:val="001F09DE"/>
    <w:rsid w:val="001F0AAF"/>
    <w:rsid w:val="001F1985"/>
    <w:rsid w:val="001F2716"/>
    <w:rsid w:val="001F27B0"/>
    <w:rsid w:val="001F2E1D"/>
    <w:rsid w:val="001F3772"/>
    <w:rsid w:val="001F3928"/>
    <w:rsid w:val="001F417A"/>
    <w:rsid w:val="001F47DF"/>
    <w:rsid w:val="001F4B62"/>
    <w:rsid w:val="001F52AD"/>
    <w:rsid w:val="001F558B"/>
    <w:rsid w:val="001F55FF"/>
    <w:rsid w:val="001F5748"/>
    <w:rsid w:val="001F5767"/>
    <w:rsid w:val="001F5CA6"/>
    <w:rsid w:val="001F6225"/>
    <w:rsid w:val="001F6351"/>
    <w:rsid w:val="001F6593"/>
    <w:rsid w:val="001F6905"/>
    <w:rsid w:val="001F6F3C"/>
    <w:rsid w:val="002009DD"/>
    <w:rsid w:val="00200B6F"/>
    <w:rsid w:val="00200C60"/>
    <w:rsid w:val="002026F0"/>
    <w:rsid w:val="00203267"/>
    <w:rsid w:val="002041A7"/>
    <w:rsid w:val="00204296"/>
    <w:rsid w:val="00204B97"/>
    <w:rsid w:val="00205CC6"/>
    <w:rsid w:val="00205F13"/>
    <w:rsid w:val="0020616F"/>
    <w:rsid w:val="002063B5"/>
    <w:rsid w:val="0020689E"/>
    <w:rsid w:val="00206AF8"/>
    <w:rsid w:val="00206B3B"/>
    <w:rsid w:val="00206FE0"/>
    <w:rsid w:val="002070A4"/>
    <w:rsid w:val="0020746E"/>
    <w:rsid w:val="00207CC9"/>
    <w:rsid w:val="00207E47"/>
    <w:rsid w:val="002101FB"/>
    <w:rsid w:val="002103BA"/>
    <w:rsid w:val="002113FC"/>
    <w:rsid w:val="00211DC3"/>
    <w:rsid w:val="00211E8E"/>
    <w:rsid w:val="00212262"/>
    <w:rsid w:val="002123EE"/>
    <w:rsid w:val="002128B3"/>
    <w:rsid w:val="0021295A"/>
    <w:rsid w:val="002129A2"/>
    <w:rsid w:val="00212CA5"/>
    <w:rsid w:val="00212CE6"/>
    <w:rsid w:val="00213DD0"/>
    <w:rsid w:val="00213F28"/>
    <w:rsid w:val="002144EB"/>
    <w:rsid w:val="00214E8C"/>
    <w:rsid w:val="00215895"/>
    <w:rsid w:val="002161F0"/>
    <w:rsid w:val="00216201"/>
    <w:rsid w:val="00216B51"/>
    <w:rsid w:val="00217226"/>
    <w:rsid w:val="00217692"/>
    <w:rsid w:val="002203CF"/>
    <w:rsid w:val="002204FE"/>
    <w:rsid w:val="0022072C"/>
    <w:rsid w:val="00220837"/>
    <w:rsid w:val="00220A48"/>
    <w:rsid w:val="00220D44"/>
    <w:rsid w:val="002210B3"/>
    <w:rsid w:val="00221450"/>
    <w:rsid w:val="00221AA9"/>
    <w:rsid w:val="0022200A"/>
    <w:rsid w:val="00222560"/>
    <w:rsid w:val="00222638"/>
    <w:rsid w:val="00222B5F"/>
    <w:rsid w:val="00222F5B"/>
    <w:rsid w:val="002230BB"/>
    <w:rsid w:val="00223178"/>
    <w:rsid w:val="0022351D"/>
    <w:rsid w:val="0022415E"/>
    <w:rsid w:val="0022454C"/>
    <w:rsid w:val="00224F9B"/>
    <w:rsid w:val="002252F2"/>
    <w:rsid w:val="00225D5E"/>
    <w:rsid w:val="002261A7"/>
    <w:rsid w:val="00226482"/>
    <w:rsid w:val="00226707"/>
    <w:rsid w:val="002269EF"/>
    <w:rsid w:val="00226EAF"/>
    <w:rsid w:val="0022723B"/>
    <w:rsid w:val="00227FF3"/>
    <w:rsid w:val="0023099A"/>
    <w:rsid w:val="00230CEB"/>
    <w:rsid w:val="00230EBD"/>
    <w:rsid w:val="0023109A"/>
    <w:rsid w:val="00231333"/>
    <w:rsid w:val="00231360"/>
    <w:rsid w:val="00231480"/>
    <w:rsid w:val="00231ACF"/>
    <w:rsid w:val="00231FF0"/>
    <w:rsid w:val="00232B2D"/>
    <w:rsid w:val="00232DBB"/>
    <w:rsid w:val="00232DF1"/>
    <w:rsid w:val="002337A0"/>
    <w:rsid w:val="002340FD"/>
    <w:rsid w:val="002347C8"/>
    <w:rsid w:val="00234821"/>
    <w:rsid w:val="00234824"/>
    <w:rsid w:val="00234AB0"/>
    <w:rsid w:val="002352E2"/>
    <w:rsid w:val="00235411"/>
    <w:rsid w:val="002360AE"/>
    <w:rsid w:val="00236416"/>
    <w:rsid w:val="00236DAB"/>
    <w:rsid w:val="00237040"/>
    <w:rsid w:val="00237076"/>
    <w:rsid w:val="0023727B"/>
    <w:rsid w:val="00237748"/>
    <w:rsid w:val="002379A7"/>
    <w:rsid w:val="00240190"/>
    <w:rsid w:val="002401A4"/>
    <w:rsid w:val="00240396"/>
    <w:rsid w:val="00240764"/>
    <w:rsid w:val="00240929"/>
    <w:rsid w:val="00241818"/>
    <w:rsid w:val="002418BD"/>
    <w:rsid w:val="002419CD"/>
    <w:rsid w:val="00241BB1"/>
    <w:rsid w:val="00241FE2"/>
    <w:rsid w:val="0024207D"/>
    <w:rsid w:val="00242D2B"/>
    <w:rsid w:val="00243490"/>
    <w:rsid w:val="00243A73"/>
    <w:rsid w:val="00243FEA"/>
    <w:rsid w:val="0024458B"/>
    <w:rsid w:val="00244BFE"/>
    <w:rsid w:val="00244F9C"/>
    <w:rsid w:val="0024530F"/>
    <w:rsid w:val="0024594D"/>
    <w:rsid w:val="002459CA"/>
    <w:rsid w:val="00245AC6"/>
    <w:rsid w:val="00245D19"/>
    <w:rsid w:val="00245F87"/>
    <w:rsid w:val="00246190"/>
    <w:rsid w:val="0024686A"/>
    <w:rsid w:val="0024692C"/>
    <w:rsid w:val="0024698B"/>
    <w:rsid w:val="00247198"/>
    <w:rsid w:val="00247AEF"/>
    <w:rsid w:val="00247B8A"/>
    <w:rsid w:val="00247D46"/>
    <w:rsid w:val="002500D2"/>
    <w:rsid w:val="00250152"/>
    <w:rsid w:val="002504A0"/>
    <w:rsid w:val="0025066A"/>
    <w:rsid w:val="002512D7"/>
    <w:rsid w:val="002524D7"/>
    <w:rsid w:val="002525D6"/>
    <w:rsid w:val="002526A6"/>
    <w:rsid w:val="0025278D"/>
    <w:rsid w:val="00253769"/>
    <w:rsid w:val="002537F9"/>
    <w:rsid w:val="00253B09"/>
    <w:rsid w:val="002540CD"/>
    <w:rsid w:val="0025482C"/>
    <w:rsid w:val="00254EE8"/>
    <w:rsid w:val="00255554"/>
    <w:rsid w:val="0025597A"/>
    <w:rsid w:val="002559EC"/>
    <w:rsid w:val="0025763E"/>
    <w:rsid w:val="002578D4"/>
    <w:rsid w:val="00260773"/>
    <w:rsid w:val="002610EB"/>
    <w:rsid w:val="00261A0C"/>
    <w:rsid w:val="00261B9E"/>
    <w:rsid w:val="0026290D"/>
    <w:rsid w:val="00262DAE"/>
    <w:rsid w:val="00262F85"/>
    <w:rsid w:val="00263A34"/>
    <w:rsid w:val="00263A5C"/>
    <w:rsid w:val="00263FB4"/>
    <w:rsid w:val="0026433D"/>
    <w:rsid w:val="002645A6"/>
    <w:rsid w:val="00264798"/>
    <w:rsid w:val="0026480B"/>
    <w:rsid w:val="002648C1"/>
    <w:rsid w:val="00264934"/>
    <w:rsid w:val="00264D18"/>
    <w:rsid w:val="00264EFB"/>
    <w:rsid w:val="00264FEA"/>
    <w:rsid w:val="00265062"/>
    <w:rsid w:val="00265D3E"/>
    <w:rsid w:val="00266A9F"/>
    <w:rsid w:val="00266B23"/>
    <w:rsid w:val="00267957"/>
    <w:rsid w:val="0027084E"/>
    <w:rsid w:val="00270A77"/>
    <w:rsid w:val="00271726"/>
    <w:rsid w:val="00271830"/>
    <w:rsid w:val="00271ACB"/>
    <w:rsid w:val="00271DD3"/>
    <w:rsid w:val="002722AF"/>
    <w:rsid w:val="002725F1"/>
    <w:rsid w:val="00272E40"/>
    <w:rsid w:val="0027320E"/>
    <w:rsid w:val="00273E62"/>
    <w:rsid w:val="0027444B"/>
    <w:rsid w:val="002747F7"/>
    <w:rsid w:val="00274A68"/>
    <w:rsid w:val="002755E3"/>
    <w:rsid w:val="00275D7F"/>
    <w:rsid w:val="00275EC3"/>
    <w:rsid w:val="00275FBB"/>
    <w:rsid w:val="002760A9"/>
    <w:rsid w:val="00276366"/>
    <w:rsid w:val="002769A9"/>
    <w:rsid w:val="00277187"/>
    <w:rsid w:val="0027745A"/>
    <w:rsid w:val="00277BC9"/>
    <w:rsid w:val="002801D4"/>
    <w:rsid w:val="002801FF"/>
    <w:rsid w:val="00281282"/>
    <w:rsid w:val="00281335"/>
    <w:rsid w:val="00281C9D"/>
    <w:rsid w:val="00281D1F"/>
    <w:rsid w:val="0028254A"/>
    <w:rsid w:val="002828EB"/>
    <w:rsid w:val="00282983"/>
    <w:rsid w:val="00282AA1"/>
    <w:rsid w:val="00282D49"/>
    <w:rsid w:val="002839B8"/>
    <w:rsid w:val="00283AC7"/>
    <w:rsid w:val="00283C55"/>
    <w:rsid w:val="0028444B"/>
    <w:rsid w:val="00284B11"/>
    <w:rsid w:val="00284CA7"/>
    <w:rsid w:val="0028503E"/>
    <w:rsid w:val="002851CF"/>
    <w:rsid w:val="0028549C"/>
    <w:rsid w:val="002856DE"/>
    <w:rsid w:val="00285C8E"/>
    <w:rsid w:val="00285CA5"/>
    <w:rsid w:val="00286378"/>
    <w:rsid w:val="002863F2"/>
    <w:rsid w:val="00286D01"/>
    <w:rsid w:val="00287113"/>
    <w:rsid w:val="0028746D"/>
    <w:rsid w:val="002874BE"/>
    <w:rsid w:val="00287BC8"/>
    <w:rsid w:val="002909BF"/>
    <w:rsid w:val="00290BE3"/>
    <w:rsid w:val="00290ED5"/>
    <w:rsid w:val="00290FCF"/>
    <w:rsid w:val="00291032"/>
    <w:rsid w:val="0029137B"/>
    <w:rsid w:val="002914B9"/>
    <w:rsid w:val="0029181E"/>
    <w:rsid w:val="00291CCF"/>
    <w:rsid w:val="00292A09"/>
    <w:rsid w:val="002931ED"/>
    <w:rsid w:val="0029390E"/>
    <w:rsid w:val="00293BBC"/>
    <w:rsid w:val="002940B0"/>
    <w:rsid w:val="00294566"/>
    <w:rsid w:val="002948B5"/>
    <w:rsid w:val="0029516A"/>
    <w:rsid w:val="00295CAA"/>
    <w:rsid w:val="002969E9"/>
    <w:rsid w:val="00296C43"/>
    <w:rsid w:val="00296E5D"/>
    <w:rsid w:val="0029722A"/>
    <w:rsid w:val="00297B43"/>
    <w:rsid w:val="00297E0B"/>
    <w:rsid w:val="002A00D5"/>
    <w:rsid w:val="002A01AE"/>
    <w:rsid w:val="002A01D8"/>
    <w:rsid w:val="002A0413"/>
    <w:rsid w:val="002A0574"/>
    <w:rsid w:val="002A11F8"/>
    <w:rsid w:val="002A149F"/>
    <w:rsid w:val="002A17FB"/>
    <w:rsid w:val="002A23E3"/>
    <w:rsid w:val="002A26B3"/>
    <w:rsid w:val="002A288A"/>
    <w:rsid w:val="002A311A"/>
    <w:rsid w:val="002A33FD"/>
    <w:rsid w:val="002A3B1C"/>
    <w:rsid w:val="002A46A3"/>
    <w:rsid w:val="002A471A"/>
    <w:rsid w:val="002A47AD"/>
    <w:rsid w:val="002A5410"/>
    <w:rsid w:val="002A5B78"/>
    <w:rsid w:val="002A5E97"/>
    <w:rsid w:val="002A666A"/>
    <w:rsid w:val="002A6689"/>
    <w:rsid w:val="002A6BE9"/>
    <w:rsid w:val="002A7125"/>
    <w:rsid w:val="002A7674"/>
    <w:rsid w:val="002A7B95"/>
    <w:rsid w:val="002B071E"/>
    <w:rsid w:val="002B07EB"/>
    <w:rsid w:val="002B09B5"/>
    <w:rsid w:val="002B11B1"/>
    <w:rsid w:val="002B1739"/>
    <w:rsid w:val="002B19A2"/>
    <w:rsid w:val="002B1A37"/>
    <w:rsid w:val="002B1C64"/>
    <w:rsid w:val="002B1E22"/>
    <w:rsid w:val="002B2071"/>
    <w:rsid w:val="002B2296"/>
    <w:rsid w:val="002B2A7B"/>
    <w:rsid w:val="002B317E"/>
    <w:rsid w:val="002B31B4"/>
    <w:rsid w:val="002B3892"/>
    <w:rsid w:val="002B39C5"/>
    <w:rsid w:val="002B3C99"/>
    <w:rsid w:val="002B3EE9"/>
    <w:rsid w:val="002B3FAD"/>
    <w:rsid w:val="002B4813"/>
    <w:rsid w:val="002B4838"/>
    <w:rsid w:val="002B4BEE"/>
    <w:rsid w:val="002B50A3"/>
    <w:rsid w:val="002B5571"/>
    <w:rsid w:val="002B60C1"/>
    <w:rsid w:val="002B60E5"/>
    <w:rsid w:val="002B6462"/>
    <w:rsid w:val="002B6755"/>
    <w:rsid w:val="002B6972"/>
    <w:rsid w:val="002B6C12"/>
    <w:rsid w:val="002B70E8"/>
    <w:rsid w:val="002B7199"/>
    <w:rsid w:val="002B79CF"/>
    <w:rsid w:val="002C0315"/>
    <w:rsid w:val="002C0444"/>
    <w:rsid w:val="002C053D"/>
    <w:rsid w:val="002C077D"/>
    <w:rsid w:val="002C0FC5"/>
    <w:rsid w:val="002C0FF0"/>
    <w:rsid w:val="002C17D9"/>
    <w:rsid w:val="002C1B01"/>
    <w:rsid w:val="002C2BC7"/>
    <w:rsid w:val="002C2DCB"/>
    <w:rsid w:val="002C361E"/>
    <w:rsid w:val="002C3959"/>
    <w:rsid w:val="002C48D6"/>
    <w:rsid w:val="002C4A3E"/>
    <w:rsid w:val="002C4A9D"/>
    <w:rsid w:val="002C4C76"/>
    <w:rsid w:val="002C53F6"/>
    <w:rsid w:val="002C5455"/>
    <w:rsid w:val="002C60BF"/>
    <w:rsid w:val="002C6190"/>
    <w:rsid w:val="002C659C"/>
    <w:rsid w:val="002C6DFF"/>
    <w:rsid w:val="002C7353"/>
    <w:rsid w:val="002C7C2A"/>
    <w:rsid w:val="002D0CCA"/>
    <w:rsid w:val="002D10B5"/>
    <w:rsid w:val="002D1E3A"/>
    <w:rsid w:val="002D271C"/>
    <w:rsid w:val="002D2AE0"/>
    <w:rsid w:val="002D2BD8"/>
    <w:rsid w:val="002D30B5"/>
    <w:rsid w:val="002D32C6"/>
    <w:rsid w:val="002D3D75"/>
    <w:rsid w:val="002D4059"/>
    <w:rsid w:val="002D4283"/>
    <w:rsid w:val="002D4858"/>
    <w:rsid w:val="002D4FBF"/>
    <w:rsid w:val="002D5943"/>
    <w:rsid w:val="002D5BE3"/>
    <w:rsid w:val="002D5C9F"/>
    <w:rsid w:val="002D5E7B"/>
    <w:rsid w:val="002D681D"/>
    <w:rsid w:val="002D6CD7"/>
    <w:rsid w:val="002D711C"/>
    <w:rsid w:val="002D7DB2"/>
    <w:rsid w:val="002D7FD0"/>
    <w:rsid w:val="002E0625"/>
    <w:rsid w:val="002E11B6"/>
    <w:rsid w:val="002E126F"/>
    <w:rsid w:val="002E1548"/>
    <w:rsid w:val="002E18F3"/>
    <w:rsid w:val="002E1D4D"/>
    <w:rsid w:val="002E1ED3"/>
    <w:rsid w:val="002E2350"/>
    <w:rsid w:val="002E2672"/>
    <w:rsid w:val="002E273C"/>
    <w:rsid w:val="002E2915"/>
    <w:rsid w:val="002E2EDF"/>
    <w:rsid w:val="002E2FF6"/>
    <w:rsid w:val="002E3493"/>
    <w:rsid w:val="002E3B67"/>
    <w:rsid w:val="002E3E99"/>
    <w:rsid w:val="002E4177"/>
    <w:rsid w:val="002E4E82"/>
    <w:rsid w:val="002E50C8"/>
    <w:rsid w:val="002E53E5"/>
    <w:rsid w:val="002E56FE"/>
    <w:rsid w:val="002E596B"/>
    <w:rsid w:val="002E5C29"/>
    <w:rsid w:val="002E63ED"/>
    <w:rsid w:val="002E66B3"/>
    <w:rsid w:val="002E69F3"/>
    <w:rsid w:val="002E6B39"/>
    <w:rsid w:val="002E6B7E"/>
    <w:rsid w:val="002E6D57"/>
    <w:rsid w:val="002E7142"/>
    <w:rsid w:val="002E76BD"/>
    <w:rsid w:val="002E7D35"/>
    <w:rsid w:val="002F064E"/>
    <w:rsid w:val="002F11D2"/>
    <w:rsid w:val="002F120C"/>
    <w:rsid w:val="002F160F"/>
    <w:rsid w:val="002F1AEE"/>
    <w:rsid w:val="002F1D85"/>
    <w:rsid w:val="002F235F"/>
    <w:rsid w:val="002F2A27"/>
    <w:rsid w:val="002F36E0"/>
    <w:rsid w:val="002F4708"/>
    <w:rsid w:val="002F4D55"/>
    <w:rsid w:val="002F5205"/>
    <w:rsid w:val="002F6C3A"/>
    <w:rsid w:val="002F6C6E"/>
    <w:rsid w:val="002F796A"/>
    <w:rsid w:val="002F7E3A"/>
    <w:rsid w:val="003000F5"/>
    <w:rsid w:val="003003C3"/>
    <w:rsid w:val="00301440"/>
    <w:rsid w:val="00301B5F"/>
    <w:rsid w:val="0030251A"/>
    <w:rsid w:val="0030255E"/>
    <w:rsid w:val="003025F0"/>
    <w:rsid w:val="003025F3"/>
    <w:rsid w:val="00302F2D"/>
    <w:rsid w:val="00302F38"/>
    <w:rsid w:val="0030319A"/>
    <w:rsid w:val="003033A9"/>
    <w:rsid w:val="00303A02"/>
    <w:rsid w:val="00303DF4"/>
    <w:rsid w:val="0030429D"/>
    <w:rsid w:val="003042E1"/>
    <w:rsid w:val="003044EA"/>
    <w:rsid w:val="003056D5"/>
    <w:rsid w:val="00305763"/>
    <w:rsid w:val="003058F1"/>
    <w:rsid w:val="00305D85"/>
    <w:rsid w:val="00305FD2"/>
    <w:rsid w:val="00306275"/>
    <w:rsid w:val="00306461"/>
    <w:rsid w:val="0030660D"/>
    <w:rsid w:val="00306A94"/>
    <w:rsid w:val="00306C30"/>
    <w:rsid w:val="003076FF"/>
    <w:rsid w:val="003078F0"/>
    <w:rsid w:val="003100EB"/>
    <w:rsid w:val="003103E3"/>
    <w:rsid w:val="00310A38"/>
    <w:rsid w:val="00310DCE"/>
    <w:rsid w:val="0031109C"/>
    <w:rsid w:val="003112E8"/>
    <w:rsid w:val="003115C0"/>
    <w:rsid w:val="003116D3"/>
    <w:rsid w:val="003119C1"/>
    <w:rsid w:val="00311D53"/>
    <w:rsid w:val="00311E20"/>
    <w:rsid w:val="0031201F"/>
    <w:rsid w:val="00312219"/>
    <w:rsid w:val="00312431"/>
    <w:rsid w:val="00312511"/>
    <w:rsid w:val="00312814"/>
    <w:rsid w:val="00312AAA"/>
    <w:rsid w:val="00313A28"/>
    <w:rsid w:val="0031412B"/>
    <w:rsid w:val="00314278"/>
    <w:rsid w:val="003146F1"/>
    <w:rsid w:val="00314CD8"/>
    <w:rsid w:val="00315C35"/>
    <w:rsid w:val="0031621C"/>
    <w:rsid w:val="003168E2"/>
    <w:rsid w:val="00316B8F"/>
    <w:rsid w:val="003172B0"/>
    <w:rsid w:val="00317379"/>
    <w:rsid w:val="0031761B"/>
    <w:rsid w:val="00317F69"/>
    <w:rsid w:val="0032013B"/>
    <w:rsid w:val="00320209"/>
    <w:rsid w:val="0032033F"/>
    <w:rsid w:val="0032071A"/>
    <w:rsid w:val="00320737"/>
    <w:rsid w:val="00320C53"/>
    <w:rsid w:val="00320D0A"/>
    <w:rsid w:val="00320DD6"/>
    <w:rsid w:val="0032184F"/>
    <w:rsid w:val="00321ACD"/>
    <w:rsid w:val="00322020"/>
    <w:rsid w:val="0032216A"/>
    <w:rsid w:val="0032227B"/>
    <w:rsid w:val="00322898"/>
    <w:rsid w:val="00322C28"/>
    <w:rsid w:val="00322D3C"/>
    <w:rsid w:val="00322F07"/>
    <w:rsid w:val="00323439"/>
    <w:rsid w:val="00323529"/>
    <w:rsid w:val="00323612"/>
    <w:rsid w:val="003237DD"/>
    <w:rsid w:val="00323F5E"/>
    <w:rsid w:val="0032446A"/>
    <w:rsid w:val="00324747"/>
    <w:rsid w:val="00324926"/>
    <w:rsid w:val="00324E65"/>
    <w:rsid w:val="00324F6F"/>
    <w:rsid w:val="00325500"/>
    <w:rsid w:val="00325C1E"/>
    <w:rsid w:val="00326AC8"/>
    <w:rsid w:val="00326B75"/>
    <w:rsid w:val="003275E6"/>
    <w:rsid w:val="003276E9"/>
    <w:rsid w:val="00327A3E"/>
    <w:rsid w:val="00327D5F"/>
    <w:rsid w:val="00327E31"/>
    <w:rsid w:val="0033057C"/>
    <w:rsid w:val="0033121C"/>
    <w:rsid w:val="003313D7"/>
    <w:rsid w:val="00332225"/>
    <w:rsid w:val="00332655"/>
    <w:rsid w:val="003328FB"/>
    <w:rsid w:val="00332A3A"/>
    <w:rsid w:val="00332E6B"/>
    <w:rsid w:val="00333A95"/>
    <w:rsid w:val="0033404F"/>
    <w:rsid w:val="00334531"/>
    <w:rsid w:val="00334938"/>
    <w:rsid w:val="003350F2"/>
    <w:rsid w:val="0033597C"/>
    <w:rsid w:val="00335FA9"/>
    <w:rsid w:val="00337309"/>
    <w:rsid w:val="0033754C"/>
    <w:rsid w:val="00337ED4"/>
    <w:rsid w:val="00340D3B"/>
    <w:rsid w:val="00341394"/>
    <w:rsid w:val="0034174B"/>
    <w:rsid w:val="0034177E"/>
    <w:rsid w:val="003417EF"/>
    <w:rsid w:val="00342420"/>
    <w:rsid w:val="00342AD2"/>
    <w:rsid w:val="00342B3B"/>
    <w:rsid w:val="00342DFE"/>
    <w:rsid w:val="00342F41"/>
    <w:rsid w:val="00343194"/>
    <w:rsid w:val="003432BC"/>
    <w:rsid w:val="0034386D"/>
    <w:rsid w:val="00343E17"/>
    <w:rsid w:val="00343F48"/>
    <w:rsid w:val="00343F95"/>
    <w:rsid w:val="00344086"/>
    <w:rsid w:val="003440C8"/>
    <w:rsid w:val="003448EC"/>
    <w:rsid w:val="003448FA"/>
    <w:rsid w:val="0034540B"/>
    <w:rsid w:val="003456C7"/>
    <w:rsid w:val="00345E65"/>
    <w:rsid w:val="0034626F"/>
    <w:rsid w:val="00346524"/>
    <w:rsid w:val="00346DE9"/>
    <w:rsid w:val="00347332"/>
    <w:rsid w:val="0034764D"/>
    <w:rsid w:val="00347A5B"/>
    <w:rsid w:val="00350B86"/>
    <w:rsid w:val="003511AE"/>
    <w:rsid w:val="00351330"/>
    <w:rsid w:val="00351929"/>
    <w:rsid w:val="00351D93"/>
    <w:rsid w:val="00351EA5"/>
    <w:rsid w:val="003526CE"/>
    <w:rsid w:val="00352C90"/>
    <w:rsid w:val="00352D6C"/>
    <w:rsid w:val="00352EC2"/>
    <w:rsid w:val="0035323F"/>
    <w:rsid w:val="00353A25"/>
    <w:rsid w:val="00353A2A"/>
    <w:rsid w:val="00353C2A"/>
    <w:rsid w:val="00354053"/>
    <w:rsid w:val="0035406F"/>
    <w:rsid w:val="003554A4"/>
    <w:rsid w:val="00355ED1"/>
    <w:rsid w:val="003560DD"/>
    <w:rsid w:val="00356346"/>
    <w:rsid w:val="00356810"/>
    <w:rsid w:val="00356A07"/>
    <w:rsid w:val="00356C5A"/>
    <w:rsid w:val="00356CE0"/>
    <w:rsid w:val="0035723F"/>
    <w:rsid w:val="003573ED"/>
    <w:rsid w:val="00357B8F"/>
    <w:rsid w:val="003612F1"/>
    <w:rsid w:val="00361EA2"/>
    <w:rsid w:val="00362430"/>
    <w:rsid w:val="00362748"/>
    <w:rsid w:val="0036296A"/>
    <w:rsid w:val="00362AA8"/>
    <w:rsid w:val="0036328C"/>
    <w:rsid w:val="003633CC"/>
    <w:rsid w:val="0036387B"/>
    <w:rsid w:val="00363925"/>
    <w:rsid w:val="0036397B"/>
    <w:rsid w:val="00363B4A"/>
    <w:rsid w:val="00363F46"/>
    <w:rsid w:val="0036453A"/>
    <w:rsid w:val="00365112"/>
    <w:rsid w:val="0036553F"/>
    <w:rsid w:val="00365D71"/>
    <w:rsid w:val="003665EA"/>
    <w:rsid w:val="0036699D"/>
    <w:rsid w:val="00367539"/>
    <w:rsid w:val="00367E94"/>
    <w:rsid w:val="00367F1D"/>
    <w:rsid w:val="003705D3"/>
    <w:rsid w:val="003705DC"/>
    <w:rsid w:val="003707A5"/>
    <w:rsid w:val="00370855"/>
    <w:rsid w:val="00370F77"/>
    <w:rsid w:val="003711D9"/>
    <w:rsid w:val="00371295"/>
    <w:rsid w:val="0037191E"/>
    <w:rsid w:val="00371E4C"/>
    <w:rsid w:val="00373B2C"/>
    <w:rsid w:val="00373E29"/>
    <w:rsid w:val="003740B8"/>
    <w:rsid w:val="00374636"/>
    <w:rsid w:val="00375545"/>
    <w:rsid w:val="00375D15"/>
    <w:rsid w:val="00376041"/>
    <w:rsid w:val="0037611A"/>
    <w:rsid w:val="00376120"/>
    <w:rsid w:val="00376BDA"/>
    <w:rsid w:val="003770E3"/>
    <w:rsid w:val="00377196"/>
    <w:rsid w:val="003774C3"/>
    <w:rsid w:val="00377C84"/>
    <w:rsid w:val="003803C7"/>
    <w:rsid w:val="0038049B"/>
    <w:rsid w:val="0038088C"/>
    <w:rsid w:val="00380AE0"/>
    <w:rsid w:val="00380BAC"/>
    <w:rsid w:val="00380E82"/>
    <w:rsid w:val="00380F57"/>
    <w:rsid w:val="0038250F"/>
    <w:rsid w:val="00382756"/>
    <w:rsid w:val="003829CF"/>
    <w:rsid w:val="00383913"/>
    <w:rsid w:val="00383B3B"/>
    <w:rsid w:val="00383DE3"/>
    <w:rsid w:val="00384204"/>
    <w:rsid w:val="0038428E"/>
    <w:rsid w:val="00384536"/>
    <w:rsid w:val="00384883"/>
    <w:rsid w:val="00384B7B"/>
    <w:rsid w:val="00384E4D"/>
    <w:rsid w:val="0038503F"/>
    <w:rsid w:val="00385144"/>
    <w:rsid w:val="003853D5"/>
    <w:rsid w:val="003861C3"/>
    <w:rsid w:val="00386C81"/>
    <w:rsid w:val="00386CC0"/>
    <w:rsid w:val="00387012"/>
    <w:rsid w:val="00387132"/>
    <w:rsid w:val="00387229"/>
    <w:rsid w:val="003878E3"/>
    <w:rsid w:val="00387C76"/>
    <w:rsid w:val="003902A3"/>
    <w:rsid w:val="0039053D"/>
    <w:rsid w:val="00390668"/>
    <w:rsid w:val="0039068D"/>
    <w:rsid w:val="00390967"/>
    <w:rsid w:val="00390F52"/>
    <w:rsid w:val="00390FDE"/>
    <w:rsid w:val="0039129A"/>
    <w:rsid w:val="003913DC"/>
    <w:rsid w:val="00391529"/>
    <w:rsid w:val="00391E4E"/>
    <w:rsid w:val="0039270A"/>
    <w:rsid w:val="0039297C"/>
    <w:rsid w:val="00392A97"/>
    <w:rsid w:val="00392E2F"/>
    <w:rsid w:val="00392EBE"/>
    <w:rsid w:val="00392F28"/>
    <w:rsid w:val="003937EE"/>
    <w:rsid w:val="0039421C"/>
    <w:rsid w:val="0039430E"/>
    <w:rsid w:val="00394C2E"/>
    <w:rsid w:val="00394D7D"/>
    <w:rsid w:val="003950FC"/>
    <w:rsid w:val="003955A8"/>
    <w:rsid w:val="003964F8"/>
    <w:rsid w:val="0039670F"/>
    <w:rsid w:val="003967B3"/>
    <w:rsid w:val="00397AEC"/>
    <w:rsid w:val="00397F05"/>
    <w:rsid w:val="003A0C35"/>
    <w:rsid w:val="003A0DED"/>
    <w:rsid w:val="003A10E2"/>
    <w:rsid w:val="003A165B"/>
    <w:rsid w:val="003A2B9D"/>
    <w:rsid w:val="003A319A"/>
    <w:rsid w:val="003A3EC0"/>
    <w:rsid w:val="003A3F7A"/>
    <w:rsid w:val="003A40C5"/>
    <w:rsid w:val="003A43C9"/>
    <w:rsid w:val="003A4AA1"/>
    <w:rsid w:val="003A4C41"/>
    <w:rsid w:val="003A4D8D"/>
    <w:rsid w:val="003A4EBB"/>
    <w:rsid w:val="003A5562"/>
    <w:rsid w:val="003A5FB1"/>
    <w:rsid w:val="003A6029"/>
    <w:rsid w:val="003A603D"/>
    <w:rsid w:val="003A64D9"/>
    <w:rsid w:val="003A69F9"/>
    <w:rsid w:val="003A6B1F"/>
    <w:rsid w:val="003A6BE0"/>
    <w:rsid w:val="003A7339"/>
    <w:rsid w:val="003A7AC0"/>
    <w:rsid w:val="003B03B5"/>
    <w:rsid w:val="003B1B92"/>
    <w:rsid w:val="003B1CB2"/>
    <w:rsid w:val="003B228B"/>
    <w:rsid w:val="003B2A4B"/>
    <w:rsid w:val="003B2B94"/>
    <w:rsid w:val="003B2DAD"/>
    <w:rsid w:val="003B3110"/>
    <w:rsid w:val="003B34F6"/>
    <w:rsid w:val="003B3E7A"/>
    <w:rsid w:val="003B4226"/>
    <w:rsid w:val="003B45C3"/>
    <w:rsid w:val="003B4700"/>
    <w:rsid w:val="003B48FA"/>
    <w:rsid w:val="003B4E40"/>
    <w:rsid w:val="003B5261"/>
    <w:rsid w:val="003B5B18"/>
    <w:rsid w:val="003B5CF2"/>
    <w:rsid w:val="003B5D13"/>
    <w:rsid w:val="003B62A8"/>
    <w:rsid w:val="003B62BB"/>
    <w:rsid w:val="003B662A"/>
    <w:rsid w:val="003B6632"/>
    <w:rsid w:val="003B6BDF"/>
    <w:rsid w:val="003B6D13"/>
    <w:rsid w:val="003B79C7"/>
    <w:rsid w:val="003B7D0B"/>
    <w:rsid w:val="003C0195"/>
    <w:rsid w:val="003C145E"/>
    <w:rsid w:val="003C19F3"/>
    <w:rsid w:val="003C25FB"/>
    <w:rsid w:val="003C3153"/>
    <w:rsid w:val="003C335F"/>
    <w:rsid w:val="003C3AAD"/>
    <w:rsid w:val="003C3B43"/>
    <w:rsid w:val="003C3E02"/>
    <w:rsid w:val="003C3E0F"/>
    <w:rsid w:val="003C3E45"/>
    <w:rsid w:val="003C40B0"/>
    <w:rsid w:val="003C4657"/>
    <w:rsid w:val="003C475D"/>
    <w:rsid w:val="003C4839"/>
    <w:rsid w:val="003C4ACD"/>
    <w:rsid w:val="003C51FE"/>
    <w:rsid w:val="003C5304"/>
    <w:rsid w:val="003C5333"/>
    <w:rsid w:val="003C55CE"/>
    <w:rsid w:val="003C57AC"/>
    <w:rsid w:val="003C5BB8"/>
    <w:rsid w:val="003C5BD1"/>
    <w:rsid w:val="003C6286"/>
    <w:rsid w:val="003C6453"/>
    <w:rsid w:val="003C66EC"/>
    <w:rsid w:val="003C6775"/>
    <w:rsid w:val="003C77AF"/>
    <w:rsid w:val="003D0052"/>
    <w:rsid w:val="003D010A"/>
    <w:rsid w:val="003D02B6"/>
    <w:rsid w:val="003D02F5"/>
    <w:rsid w:val="003D0800"/>
    <w:rsid w:val="003D0B95"/>
    <w:rsid w:val="003D0BA9"/>
    <w:rsid w:val="003D10B3"/>
    <w:rsid w:val="003D1168"/>
    <w:rsid w:val="003D1BEF"/>
    <w:rsid w:val="003D1C0E"/>
    <w:rsid w:val="003D382E"/>
    <w:rsid w:val="003D429C"/>
    <w:rsid w:val="003D499B"/>
    <w:rsid w:val="003D4A09"/>
    <w:rsid w:val="003D4AE3"/>
    <w:rsid w:val="003D4D14"/>
    <w:rsid w:val="003D5BE9"/>
    <w:rsid w:val="003D6ABF"/>
    <w:rsid w:val="003D6D93"/>
    <w:rsid w:val="003D7063"/>
    <w:rsid w:val="003D7403"/>
    <w:rsid w:val="003D75A7"/>
    <w:rsid w:val="003D7F4E"/>
    <w:rsid w:val="003E06DA"/>
    <w:rsid w:val="003E0E3E"/>
    <w:rsid w:val="003E0F5C"/>
    <w:rsid w:val="003E0FE5"/>
    <w:rsid w:val="003E107C"/>
    <w:rsid w:val="003E1446"/>
    <w:rsid w:val="003E1912"/>
    <w:rsid w:val="003E1B44"/>
    <w:rsid w:val="003E1D46"/>
    <w:rsid w:val="003E1DEC"/>
    <w:rsid w:val="003E1E00"/>
    <w:rsid w:val="003E20DB"/>
    <w:rsid w:val="003E2DFC"/>
    <w:rsid w:val="003E2FA0"/>
    <w:rsid w:val="003E30EA"/>
    <w:rsid w:val="003E327C"/>
    <w:rsid w:val="003E36E9"/>
    <w:rsid w:val="003E3B83"/>
    <w:rsid w:val="003E3D98"/>
    <w:rsid w:val="003E5984"/>
    <w:rsid w:val="003E5F67"/>
    <w:rsid w:val="003E60DE"/>
    <w:rsid w:val="003E6795"/>
    <w:rsid w:val="003E6EE1"/>
    <w:rsid w:val="003F0479"/>
    <w:rsid w:val="003F0621"/>
    <w:rsid w:val="003F0701"/>
    <w:rsid w:val="003F0990"/>
    <w:rsid w:val="003F09D6"/>
    <w:rsid w:val="003F191B"/>
    <w:rsid w:val="003F208F"/>
    <w:rsid w:val="003F211A"/>
    <w:rsid w:val="003F23B1"/>
    <w:rsid w:val="003F246C"/>
    <w:rsid w:val="003F24BD"/>
    <w:rsid w:val="003F29BF"/>
    <w:rsid w:val="003F2F5E"/>
    <w:rsid w:val="003F3866"/>
    <w:rsid w:val="003F43FF"/>
    <w:rsid w:val="003F5062"/>
    <w:rsid w:val="003F5863"/>
    <w:rsid w:val="003F5C47"/>
    <w:rsid w:val="003F5E2B"/>
    <w:rsid w:val="003F63F0"/>
    <w:rsid w:val="003F6755"/>
    <w:rsid w:val="003F6B44"/>
    <w:rsid w:val="003F6DD7"/>
    <w:rsid w:val="003F6FFB"/>
    <w:rsid w:val="003F72F9"/>
    <w:rsid w:val="003F7455"/>
    <w:rsid w:val="003F7617"/>
    <w:rsid w:val="003F7811"/>
    <w:rsid w:val="003F791B"/>
    <w:rsid w:val="003F7AFF"/>
    <w:rsid w:val="003F7B24"/>
    <w:rsid w:val="004002D9"/>
    <w:rsid w:val="00400640"/>
    <w:rsid w:val="0040080A"/>
    <w:rsid w:val="00401D19"/>
    <w:rsid w:val="004020B4"/>
    <w:rsid w:val="00403075"/>
    <w:rsid w:val="004032D2"/>
    <w:rsid w:val="00403529"/>
    <w:rsid w:val="004043EB"/>
    <w:rsid w:val="004045FE"/>
    <w:rsid w:val="00404638"/>
    <w:rsid w:val="00404692"/>
    <w:rsid w:val="00404892"/>
    <w:rsid w:val="00404A4B"/>
    <w:rsid w:val="00404A82"/>
    <w:rsid w:val="00404B9A"/>
    <w:rsid w:val="00405C6C"/>
    <w:rsid w:val="00405E39"/>
    <w:rsid w:val="004065B0"/>
    <w:rsid w:val="00406B54"/>
    <w:rsid w:val="00406F3A"/>
    <w:rsid w:val="004070C0"/>
    <w:rsid w:val="00407475"/>
    <w:rsid w:val="00407BB8"/>
    <w:rsid w:val="00407D41"/>
    <w:rsid w:val="0041091F"/>
    <w:rsid w:val="00410EDD"/>
    <w:rsid w:val="004115C9"/>
    <w:rsid w:val="004118F1"/>
    <w:rsid w:val="00411A51"/>
    <w:rsid w:val="00411AC2"/>
    <w:rsid w:val="004122F9"/>
    <w:rsid w:val="00412E4D"/>
    <w:rsid w:val="00412E8B"/>
    <w:rsid w:val="00413135"/>
    <w:rsid w:val="004131E8"/>
    <w:rsid w:val="0041335E"/>
    <w:rsid w:val="0041371B"/>
    <w:rsid w:val="004137DE"/>
    <w:rsid w:val="00413876"/>
    <w:rsid w:val="0041389A"/>
    <w:rsid w:val="00413B8E"/>
    <w:rsid w:val="00414040"/>
    <w:rsid w:val="0041434B"/>
    <w:rsid w:val="00414703"/>
    <w:rsid w:val="00414D07"/>
    <w:rsid w:val="00414DBB"/>
    <w:rsid w:val="00414E5B"/>
    <w:rsid w:val="004153D3"/>
    <w:rsid w:val="004155E9"/>
    <w:rsid w:val="00415B40"/>
    <w:rsid w:val="00415CEF"/>
    <w:rsid w:val="0041606E"/>
    <w:rsid w:val="004162CE"/>
    <w:rsid w:val="004167DB"/>
    <w:rsid w:val="00416DF7"/>
    <w:rsid w:val="00416F44"/>
    <w:rsid w:val="00416FD0"/>
    <w:rsid w:val="004200EA"/>
    <w:rsid w:val="004204B4"/>
    <w:rsid w:val="00420598"/>
    <w:rsid w:val="00420640"/>
    <w:rsid w:val="0042069D"/>
    <w:rsid w:val="00420786"/>
    <w:rsid w:val="00420789"/>
    <w:rsid w:val="004210AD"/>
    <w:rsid w:val="00421F26"/>
    <w:rsid w:val="0042203F"/>
    <w:rsid w:val="004223C6"/>
    <w:rsid w:val="004226EA"/>
    <w:rsid w:val="00423075"/>
    <w:rsid w:val="00423280"/>
    <w:rsid w:val="004237FB"/>
    <w:rsid w:val="0042382E"/>
    <w:rsid w:val="00423DDF"/>
    <w:rsid w:val="00423FA9"/>
    <w:rsid w:val="00424040"/>
    <w:rsid w:val="004246FC"/>
    <w:rsid w:val="00425031"/>
    <w:rsid w:val="00425098"/>
    <w:rsid w:val="0042519B"/>
    <w:rsid w:val="00425379"/>
    <w:rsid w:val="00425C8E"/>
    <w:rsid w:val="00425CAB"/>
    <w:rsid w:val="00425EAB"/>
    <w:rsid w:val="00426240"/>
    <w:rsid w:val="004264BB"/>
    <w:rsid w:val="00426C20"/>
    <w:rsid w:val="00426ED8"/>
    <w:rsid w:val="00427113"/>
    <w:rsid w:val="00427137"/>
    <w:rsid w:val="00427195"/>
    <w:rsid w:val="00427479"/>
    <w:rsid w:val="00427967"/>
    <w:rsid w:val="00427A32"/>
    <w:rsid w:val="00427C50"/>
    <w:rsid w:val="00427E2D"/>
    <w:rsid w:val="00427E44"/>
    <w:rsid w:val="00427F36"/>
    <w:rsid w:val="004308C4"/>
    <w:rsid w:val="004316BA"/>
    <w:rsid w:val="0043295C"/>
    <w:rsid w:val="004330D1"/>
    <w:rsid w:val="00433534"/>
    <w:rsid w:val="0043431B"/>
    <w:rsid w:val="004355B7"/>
    <w:rsid w:val="00435645"/>
    <w:rsid w:val="00435D94"/>
    <w:rsid w:val="00436310"/>
    <w:rsid w:val="00436719"/>
    <w:rsid w:val="004369CD"/>
    <w:rsid w:val="00436C86"/>
    <w:rsid w:val="00436CA5"/>
    <w:rsid w:val="004375B8"/>
    <w:rsid w:val="004378CF"/>
    <w:rsid w:val="00437B3D"/>
    <w:rsid w:val="00437CAD"/>
    <w:rsid w:val="00437EE6"/>
    <w:rsid w:val="00440074"/>
    <w:rsid w:val="00440675"/>
    <w:rsid w:val="004407A0"/>
    <w:rsid w:val="00440835"/>
    <w:rsid w:val="00440A5E"/>
    <w:rsid w:val="00440E6D"/>
    <w:rsid w:val="00440F4E"/>
    <w:rsid w:val="00441984"/>
    <w:rsid w:val="00441AE5"/>
    <w:rsid w:val="00441AF2"/>
    <w:rsid w:val="00441D21"/>
    <w:rsid w:val="00441E28"/>
    <w:rsid w:val="00442596"/>
    <w:rsid w:val="0044282B"/>
    <w:rsid w:val="00442BDA"/>
    <w:rsid w:val="00442C0B"/>
    <w:rsid w:val="00442C66"/>
    <w:rsid w:val="00442D9E"/>
    <w:rsid w:val="00442FDB"/>
    <w:rsid w:val="0044344E"/>
    <w:rsid w:val="004443D2"/>
    <w:rsid w:val="004444B1"/>
    <w:rsid w:val="00444550"/>
    <w:rsid w:val="00444602"/>
    <w:rsid w:val="004453FA"/>
    <w:rsid w:val="00445419"/>
    <w:rsid w:val="00445FFE"/>
    <w:rsid w:val="0044689A"/>
    <w:rsid w:val="00446CC3"/>
    <w:rsid w:val="00447D68"/>
    <w:rsid w:val="00447E45"/>
    <w:rsid w:val="00447F08"/>
    <w:rsid w:val="00450E3C"/>
    <w:rsid w:val="00451D2D"/>
    <w:rsid w:val="00451D89"/>
    <w:rsid w:val="0045206B"/>
    <w:rsid w:val="00452B44"/>
    <w:rsid w:val="00452C26"/>
    <w:rsid w:val="00452E8B"/>
    <w:rsid w:val="00453AB0"/>
    <w:rsid w:val="00453CBA"/>
    <w:rsid w:val="00454561"/>
    <w:rsid w:val="0045543A"/>
    <w:rsid w:val="0045587C"/>
    <w:rsid w:val="00455AE2"/>
    <w:rsid w:val="00455C3C"/>
    <w:rsid w:val="004566AB"/>
    <w:rsid w:val="004569EE"/>
    <w:rsid w:val="00456FD1"/>
    <w:rsid w:val="00456FE0"/>
    <w:rsid w:val="0045755C"/>
    <w:rsid w:val="0045795A"/>
    <w:rsid w:val="00457E1E"/>
    <w:rsid w:val="004602F9"/>
    <w:rsid w:val="00460A90"/>
    <w:rsid w:val="00460CFD"/>
    <w:rsid w:val="00460E49"/>
    <w:rsid w:val="0046120C"/>
    <w:rsid w:val="00461683"/>
    <w:rsid w:val="0046204D"/>
    <w:rsid w:val="004622D5"/>
    <w:rsid w:val="004624AB"/>
    <w:rsid w:val="004627FC"/>
    <w:rsid w:val="00462E57"/>
    <w:rsid w:val="004632B4"/>
    <w:rsid w:val="00463FA5"/>
    <w:rsid w:val="004642D7"/>
    <w:rsid w:val="004645D0"/>
    <w:rsid w:val="004646D3"/>
    <w:rsid w:val="004648CC"/>
    <w:rsid w:val="004648E0"/>
    <w:rsid w:val="004649D0"/>
    <w:rsid w:val="00464A4E"/>
    <w:rsid w:val="00464E2E"/>
    <w:rsid w:val="00465168"/>
    <w:rsid w:val="0046533C"/>
    <w:rsid w:val="00465DF3"/>
    <w:rsid w:val="004660A4"/>
    <w:rsid w:val="004662DA"/>
    <w:rsid w:val="00466547"/>
    <w:rsid w:val="004665CD"/>
    <w:rsid w:val="00466789"/>
    <w:rsid w:val="00466859"/>
    <w:rsid w:val="00466898"/>
    <w:rsid w:val="00466FD7"/>
    <w:rsid w:val="0046700A"/>
    <w:rsid w:val="0046759F"/>
    <w:rsid w:val="00467C62"/>
    <w:rsid w:val="004703AD"/>
    <w:rsid w:val="00470707"/>
    <w:rsid w:val="004709DF"/>
    <w:rsid w:val="00470B46"/>
    <w:rsid w:val="00471166"/>
    <w:rsid w:val="004714A2"/>
    <w:rsid w:val="00471933"/>
    <w:rsid w:val="00471B49"/>
    <w:rsid w:val="00471CC9"/>
    <w:rsid w:val="00471FA6"/>
    <w:rsid w:val="0047212A"/>
    <w:rsid w:val="0047250B"/>
    <w:rsid w:val="004727D1"/>
    <w:rsid w:val="00472C4F"/>
    <w:rsid w:val="00472CED"/>
    <w:rsid w:val="0047323E"/>
    <w:rsid w:val="00473450"/>
    <w:rsid w:val="004737D9"/>
    <w:rsid w:val="004748DB"/>
    <w:rsid w:val="00474BC0"/>
    <w:rsid w:val="00474FD1"/>
    <w:rsid w:val="00475B39"/>
    <w:rsid w:val="00475E00"/>
    <w:rsid w:val="00476018"/>
    <w:rsid w:val="00476A53"/>
    <w:rsid w:val="00476C39"/>
    <w:rsid w:val="00477938"/>
    <w:rsid w:val="00477B69"/>
    <w:rsid w:val="0048061E"/>
    <w:rsid w:val="00480D18"/>
    <w:rsid w:val="00481690"/>
    <w:rsid w:val="0048181E"/>
    <w:rsid w:val="00482031"/>
    <w:rsid w:val="004824B7"/>
    <w:rsid w:val="00482859"/>
    <w:rsid w:val="0048285C"/>
    <w:rsid w:val="004828F5"/>
    <w:rsid w:val="004831A5"/>
    <w:rsid w:val="00483998"/>
    <w:rsid w:val="004848B7"/>
    <w:rsid w:val="00484C58"/>
    <w:rsid w:val="00484FA4"/>
    <w:rsid w:val="004861B6"/>
    <w:rsid w:val="004864EE"/>
    <w:rsid w:val="004869A9"/>
    <w:rsid w:val="00486DAC"/>
    <w:rsid w:val="00486F01"/>
    <w:rsid w:val="00487032"/>
    <w:rsid w:val="004870D9"/>
    <w:rsid w:val="004872C0"/>
    <w:rsid w:val="00487FD3"/>
    <w:rsid w:val="00490630"/>
    <w:rsid w:val="004906FA"/>
    <w:rsid w:val="00491B80"/>
    <w:rsid w:val="00491CEB"/>
    <w:rsid w:val="0049206B"/>
    <w:rsid w:val="00492304"/>
    <w:rsid w:val="0049237D"/>
    <w:rsid w:val="00492569"/>
    <w:rsid w:val="00492985"/>
    <w:rsid w:val="00492CF3"/>
    <w:rsid w:val="00492E86"/>
    <w:rsid w:val="00492F37"/>
    <w:rsid w:val="004930C8"/>
    <w:rsid w:val="0049364F"/>
    <w:rsid w:val="004938AF"/>
    <w:rsid w:val="00493ACB"/>
    <w:rsid w:val="004940B2"/>
    <w:rsid w:val="00494325"/>
    <w:rsid w:val="00494625"/>
    <w:rsid w:val="00494DEA"/>
    <w:rsid w:val="00494DF5"/>
    <w:rsid w:val="00495518"/>
    <w:rsid w:val="00495BA8"/>
    <w:rsid w:val="0049638B"/>
    <w:rsid w:val="004964D3"/>
    <w:rsid w:val="00497962"/>
    <w:rsid w:val="00497FFA"/>
    <w:rsid w:val="004A061B"/>
    <w:rsid w:val="004A0A6B"/>
    <w:rsid w:val="004A1493"/>
    <w:rsid w:val="004A14D2"/>
    <w:rsid w:val="004A15B8"/>
    <w:rsid w:val="004A1CA2"/>
    <w:rsid w:val="004A1CBE"/>
    <w:rsid w:val="004A1F28"/>
    <w:rsid w:val="004A250D"/>
    <w:rsid w:val="004A2ACB"/>
    <w:rsid w:val="004A2C2A"/>
    <w:rsid w:val="004A417C"/>
    <w:rsid w:val="004A422B"/>
    <w:rsid w:val="004A44DD"/>
    <w:rsid w:val="004A472F"/>
    <w:rsid w:val="004A487F"/>
    <w:rsid w:val="004A5BC5"/>
    <w:rsid w:val="004A68DA"/>
    <w:rsid w:val="004A6B0E"/>
    <w:rsid w:val="004A6B4A"/>
    <w:rsid w:val="004A7222"/>
    <w:rsid w:val="004A7E2A"/>
    <w:rsid w:val="004B0E4F"/>
    <w:rsid w:val="004B0ECF"/>
    <w:rsid w:val="004B12ED"/>
    <w:rsid w:val="004B18EE"/>
    <w:rsid w:val="004B1D05"/>
    <w:rsid w:val="004B1E9E"/>
    <w:rsid w:val="004B214D"/>
    <w:rsid w:val="004B21D6"/>
    <w:rsid w:val="004B22AF"/>
    <w:rsid w:val="004B2EB8"/>
    <w:rsid w:val="004B2F4D"/>
    <w:rsid w:val="004B2F85"/>
    <w:rsid w:val="004B305A"/>
    <w:rsid w:val="004B328F"/>
    <w:rsid w:val="004B32BA"/>
    <w:rsid w:val="004B3827"/>
    <w:rsid w:val="004B521C"/>
    <w:rsid w:val="004B5B86"/>
    <w:rsid w:val="004B62F6"/>
    <w:rsid w:val="004B68BD"/>
    <w:rsid w:val="004B6E87"/>
    <w:rsid w:val="004B6EF6"/>
    <w:rsid w:val="004B76A2"/>
    <w:rsid w:val="004B7968"/>
    <w:rsid w:val="004B7A61"/>
    <w:rsid w:val="004C02DD"/>
    <w:rsid w:val="004C0A45"/>
    <w:rsid w:val="004C0C22"/>
    <w:rsid w:val="004C0FEB"/>
    <w:rsid w:val="004C11E3"/>
    <w:rsid w:val="004C17C3"/>
    <w:rsid w:val="004C19C5"/>
    <w:rsid w:val="004C1BC9"/>
    <w:rsid w:val="004C256A"/>
    <w:rsid w:val="004C2A24"/>
    <w:rsid w:val="004C2AFF"/>
    <w:rsid w:val="004C3870"/>
    <w:rsid w:val="004C42A5"/>
    <w:rsid w:val="004C45A5"/>
    <w:rsid w:val="004C4EF3"/>
    <w:rsid w:val="004C5202"/>
    <w:rsid w:val="004C55D2"/>
    <w:rsid w:val="004C56A8"/>
    <w:rsid w:val="004C6213"/>
    <w:rsid w:val="004C6223"/>
    <w:rsid w:val="004C6584"/>
    <w:rsid w:val="004C6F00"/>
    <w:rsid w:val="004C7340"/>
    <w:rsid w:val="004C7362"/>
    <w:rsid w:val="004C7EAB"/>
    <w:rsid w:val="004D073D"/>
    <w:rsid w:val="004D08DC"/>
    <w:rsid w:val="004D184B"/>
    <w:rsid w:val="004D2556"/>
    <w:rsid w:val="004D26CB"/>
    <w:rsid w:val="004D360B"/>
    <w:rsid w:val="004D3827"/>
    <w:rsid w:val="004D3D2F"/>
    <w:rsid w:val="004D4239"/>
    <w:rsid w:val="004D52A6"/>
    <w:rsid w:val="004D592C"/>
    <w:rsid w:val="004D5F8B"/>
    <w:rsid w:val="004D66D7"/>
    <w:rsid w:val="004D6715"/>
    <w:rsid w:val="004D6957"/>
    <w:rsid w:val="004D6BAD"/>
    <w:rsid w:val="004D766F"/>
    <w:rsid w:val="004E012D"/>
    <w:rsid w:val="004E091E"/>
    <w:rsid w:val="004E0B5A"/>
    <w:rsid w:val="004E1620"/>
    <w:rsid w:val="004E2199"/>
    <w:rsid w:val="004E38B2"/>
    <w:rsid w:val="004E3B86"/>
    <w:rsid w:val="004E41E9"/>
    <w:rsid w:val="004E4281"/>
    <w:rsid w:val="004E42F5"/>
    <w:rsid w:val="004E46BC"/>
    <w:rsid w:val="004E4701"/>
    <w:rsid w:val="004E4EBE"/>
    <w:rsid w:val="004E573B"/>
    <w:rsid w:val="004E59E7"/>
    <w:rsid w:val="004E60AB"/>
    <w:rsid w:val="004E66F0"/>
    <w:rsid w:val="004E6A31"/>
    <w:rsid w:val="004E6B83"/>
    <w:rsid w:val="004E72C7"/>
    <w:rsid w:val="004E72D0"/>
    <w:rsid w:val="004E73EB"/>
    <w:rsid w:val="004E77EB"/>
    <w:rsid w:val="004E7944"/>
    <w:rsid w:val="004E7CE8"/>
    <w:rsid w:val="004E7D94"/>
    <w:rsid w:val="004F133B"/>
    <w:rsid w:val="004F151F"/>
    <w:rsid w:val="004F19A9"/>
    <w:rsid w:val="004F243B"/>
    <w:rsid w:val="004F2518"/>
    <w:rsid w:val="004F2552"/>
    <w:rsid w:val="004F268D"/>
    <w:rsid w:val="004F3C17"/>
    <w:rsid w:val="004F40C8"/>
    <w:rsid w:val="004F474F"/>
    <w:rsid w:val="004F479A"/>
    <w:rsid w:val="004F4E21"/>
    <w:rsid w:val="004F57C9"/>
    <w:rsid w:val="004F640E"/>
    <w:rsid w:val="004F6723"/>
    <w:rsid w:val="004F6795"/>
    <w:rsid w:val="00500426"/>
    <w:rsid w:val="00501D6F"/>
    <w:rsid w:val="00501E33"/>
    <w:rsid w:val="00502F4B"/>
    <w:rsid w:val="00502FE1"/>
    <w:rsid w:val="00503291"/>
    <w:rsid w:val="00503434"/>
    <w:rsid w:val="00503A3B"/>
    <w:rsid w:val="00504205"/>
    <w:rsid w:val="00504247"/>
    <w:rsid w:val="0050437E"/>
    <w:rsid w:val="005044D3"/>
    <w:rsid w:val="005046E5"/>
    <w:rsid w:val="005051F0"/>
    <w:rsid w:val="00505703"/>
    <w:rsid w:val="0050573A"/>
    <w:rsid w:val="00505D6B"/>
    <w:rsid w:val="00506460"/>
    <w:rsid w:val="005072B0"/>
    <w:rsid w:val="00507971"/>
    <w:rsid w:val="00507BF4"/>
    <w:rsid w:val="00507D7B"/>
    <w:rsid w:val="00507F2D"/>
    <w:rsid w:val="00510897"/>
    <w:rsid w:val="0051097E"/>
    <w:rsid w:val="0051139D"/>
    <w:rsid w:val="005113E3"/>
    <w:rsid w:val="005115CE"/>
    <w:rsid w:val="005127A1"/>
    <w:rsid w:val="0051380B"/>
    <w:rsid w:val="00513E77"/>
    <w:rsid w:val="005147E2"/>
    <w:rsid w:val="00514A01"/>
    <w:rsid w:val="00514BFB"/>
    <w:rsid w:val="00514F68"/>
    <w:rsid w:val="005150B8"/>
    <w:rsid w:val="00515F38"/>
    <w:rsid w:val="00516802"/>
    <w:rsid w:val="00516A93"/>
    <w:rsid w:val="00516C01"/>
    <w:rsid w:val="00516D71"/>
    <w:rsid w:val="00517158"/>
    <w:rsid w:val="00520D50"/>
    <w:rsid w:val="00520F1C"/>
    <w:rsid w:val="00521342"/>
    <w:rsid w:val="005213E6"/>
    <w:rsid w:val="005214DF"/>
    <w:rsid w:val="0052195E"/>
    <w:rsid w:val="005224AD"/>
    <w:rsid w:val="00522C84"/>
    <w:rsid w:val="005235FA"/>
    <w:rsid w:val="005236C2"/>
    <w:rsid w:val="0052376B"/>
    <w:rsid w:val="005237CD"/>
    <w:rsid w:val="00523F59"/>
    <w:rsid w:val="0052489F"/>
    <w:rsid w:val="005250D8"/>
    <w:rsid w:val="00525312"/>
    <w:rsid w:val="005270B7"/>
    <w:rsid w:val="0052722F"/>
    <w:rsid w:val="005273C8"/>
    <w:rsid w:val="00527406"/>
    <w:rsid w:val="00527AC1"/>
    <w:rsid w:val="00527B5A"/>
    <w:rsid w:val="0053037B"/>
    <w:rsid w:val="00530394"/>
    <w:rsid w:val="005307CB"/>
    <w:rsid w:val="0053130B"/>
    <w:rsid w:val="005317B5"/>
    <w:rsid w:val="005317D7"/>
    <w:rsid w:val="00531DE2"/>
    <w:rsid w:val="00532031"/>
    <w:rsid w:val="00532226"/>
    <w:rsid w:val="00532779"/>
    <w:rsid w:val="00534C02"/>
    <w:rsid w:val="00534C95"/>
    <w:rsid w:val="00535E80"/>
    <w:rsid w:val="00536A41"/>
    <w:rsid w:val="00536DDF"/>
    <w:rsid w:val="005371B0"/>
    <w:rsid w:val="00537CD4"/>
    <w:rsid w:val="00537E5E"/>
    <w:rsid w:val="00540216"/>
    <w:rsid w:val="00540702"/>
    <w:rsid w:val="0054075F"/>
    <w:rsid w:val="00540BC9"/>
    <w:rsid w:val="00540DFB"/>
    <w:rsid w:val="0054118A"/>
    <w:rsid w:val="0054172F"/>
    <w:rsid w:val="005417AD"/>
    <w:rsid w:val="00541FF8"/>
    <w:rsid w:val="0054288D"/>
    <w:rsid w:val="005429B0"/>
    <w:rsid w:val="00542EFD"/>
    <w:rsid w:val="00543C26"/>
    <w:rsid w:val="005442FE"/>
    <w:rsid w:val="00544964"/>
    <w:rsid w:val="00544BA1"/>
    <w:rsid w:val="00544BB3"/>
    <w:rsid w:val="00544CB4"/>
    <w:rsid w:val="005451A4"/>
    <w:rsid w:val="00545CD9"/>
    <w:rsid w:val="0054617C"/>
    <w:rsid w:val="00546E05"/>
    <w:rsid w:val="00546E81"/>
    <w:rsid w:val="005470B8"/>
    <w:rsid w:val="005477DB"/>
    <w:rsid w:val="00550095"/>
    <w:rsid w:val="00550491"/>
    <w:rsid w:val="005504F8"/>
    <w:rsid w:val="005508B8"/>
    <w:rsid w:val="00550CAC"/>
    <w:rsid w:val="0055109A"/>
    <w:rsid w:val="00551CCA"/>
    <w:rsid w:val="005525A7"/>
    <w:rsid w:val="0055285F"/>
    <w:rsid w:val="00552942"/>
    <w:rsid w:val="00552E24"/>
    <w:rsid w:val="005536BA"/>
    <w:rsid w:val="0055383C"/>
    <w:rsid w:val="00553BB2"/>
    <w:rsid w:val="00553E6A"/>
    <w:rsid w:val="00554D16"/>
    <w:rsid w:val="005552A0"/>
    <w:rsid w:val="00555897"/>
    <w:rsid w:val="00555907"/>
    <w:rsid w:val="00555D86"/>
    <w:rsid w:val="0055609B"/>
    <w:rsid w:val="005568A3"/>
    <w:rsid w:val="00556EA6"/>
    <w:rsid w:val="0056058E"/>
    <w:rsid w:val="00561089"/>
    <w:rsid w:val="005619A4"/>
    <w:rsid w:val="00562254"/>
    <w:rsid w:val="005628F3"/>
    <w:rsid w:val="00562A7D"/>
    <w:rsid w:val="00563179"/>
    <w:rsid w:val="00563A54"/>
    <w:rsid w:val="00564120"/>
    <w:rsid w:val="00564240"/>
    <w:rsid w:val="0056499D"/>
    <w:rsid w:val="0056532D"/>
    <w:rsid w:val="005655DF"/>
    <w:rsid w:val="005655F3"/>
    <w:rsid w:val="00565620"/>
    <w:rsid w:val="00567C03"/>
    <w:rsid w:val="00570F3F"/>
    <w:rsid w:val="005711ED"/>
    <w:rsid w:val="005712D7"/>
    <w:rsid w:val="005722CE"/>
    <w:rsid w:val="00572C88"/>
    <w:rsid w:val="005734C9"/>
    <w:rsid w:val="00573BF1"/>
    <w:rsid w:val="00573F16"/>
    <w:rsid w:val="005743EC"/>
    <w:rsid w:val="00574417"/>
    <w:rsid w:val="00574A3A"/>
    <w:rsid w:val="00574D1A"/>
    <w:rsid w:val="00575471"/>
    <w:rsid w:val="00575585"/>
    <w:rsid w:val="00575BBA"/>
    <w:rsid w:val="00575DAB"/>
    <w:rsid w:val="00576B26"/>
    <w:rsid w:val="00576B3D"/>
    <w:rsid w:val="00576B75"/>
    <w:rsid w:val="00576B78"/>
    <w:rsid w:val="005776B0"/>
    <w:rsid w:val="00580681"/>
    <w:rsid w:val="0058093E"/>
    <w:rsid w:val="00580EEC"/>
    <w:rsid w:val="00581D1E"/>
    <w:rsid w:val="00581D24"/>
    <w:rsid w:val="00582295"/>
    <w:rsid w:val="00582455"/>
    <w:rsid w:val="00582486"/>
    <w:rsid w:val="00582C89"/>
    <w:rsid w:val="00583040"/>
    <w:rsid w:val="0058376B"/>
    <w:rsid w:val="00583C01"/>
    <w:rsid w:val="00583D6F"/>
    <w:rsid w:val="005840F7"/>
    <w:rsid w:val="00584326"/>
    <w:rsid w:val="00584378"/>
    <w:rsid w:val="0058437A"/>
    <w:rsid w:val="005843FD"/>
    <w:rsid w:val="00584535"/>
    <w:rsid w:val="00584AAE"/>
    <w:rsid w:val="00584E45"/>
    <w:rsid w:val="005859EE"/>
    <w:rsid w:val="00585A46"/>
    <w:rsid w:val="00585A7A"/>
    <w:rsid w:val="005860E4"/>
    <w:rsid w:val="0058621D"/>
    <w:rsid w:val="00586235"/>
    <w:rsid w:val="005863E4"/>
    <w:rsid w:val="00586698"/>
    <w:rsid w:val="005866E3"/>
    <w:rsid w:val="00586C14"/>
    <w:rsid w:val="00587040"/>
    <w:rsid w:val="0059050B"/>
    <w:rsid w:val="00591605"/>
    <w:rsid w:val="00591645"/>
    <w:rsid w:val="005916D4"/>
    <w:rsid w:val="00591C83"/>
    <w:rsid w:val="00591DD9"/>
    <w:rsid w:val="005921A6"/>
    <w:rsid w:val="00592BFA"/>
    <w:rsid w:val="00592F15"/>
    <w:rsid w:val="0059358F"/>
    <w:rsid w:val="005935B3"/>
    <w:rsid w:val="00593C3D"/>
    <w:rsid w:val="00594558"/>
    <w:rsid w:val="00594DDF"/>
    <w:rsid w:val="00595117"/>
    <w:rsid w:val="00595494"/>
    <w:rsid w:val="00595708"/>
    <w:rsid w:val="0059573C"/>
    <w:rsid w:val="005960B7"/>
    <w:rsid w:val="00596BD0"/>
    <w:rsid w:val="00597043"/>
    <w:rsid w:val="005971E2"/>
    <w:rsid w:val="005972A9"/>
    <w:rsid w:val="00597496"/>
    <w:rsid w:val="00597CCE"/>
    <w:rsid w:val="005A0049"/>
    <w:rsid w:val="005A00CD"/>
    <w:rsid w:val="005A0555"/>
    <w:rsid w:val="005A0A15"/>
    <w:rsid w:val="005A0B0B"/>
    <w:rsid w:val="005A1131"/>
    <w:rsid w:val="005A179C"/>
    <w:rsid w:val="005A23BD"/>
    <w:rsid w:val="005A28C9"/>
    <w:rsid w:val="005A28FC"/>
    <w:rsid w:val="005A2A5C"/>
    <w:rsid w:val="005A2B04"/>
    <w:rsid w:val="005A30E2"/>
    <w:rsid w:val="005A375D"/>
    <w:rsid w:val="005A39F2"/>
    <w:rsid w:val="005A4013"/>
    <w:rsid w:val="005A40E0"/>
    <w:rsid w:val="005A41E7"/>
    <w:rsid w:val="005A4C8C"/>
    <w:rsid w:val="005A52C0"/>
    <w:rsid w:val="005A5373"/>
    <w:rsid w:val="005A5980"/>
    <w:rsid w:val="005A5A33"/>
    <w:rsid w:val="005A601B"/>
    <w:rsid w:val="005A65D9"/>
    <w:rsid w:val="005A6F29"/>
    <w:rsid w:val="005A750B"/>
    <w:rsid w:val="005A7670"/>
    <w:rsid w:val="005A7877"/>
    <w:rsid w:val="005A795A"/>
    <w:rsid w:val="005A7C2D"/>
    <w:rsid w:val="005A7CBD"/>
    <w:rsid w:val="005B02B4"/>
    <w:rsid w:val="005B08EB"/>
    <w:rsid w:val="005B0E83"/>
    <w:rsid w:val="005B1136"/>
    <w:rsid w:val="005B136F"/>
    <w:rsid w:val="005B18C0"/>
    <w:rsid w:val="005B1F5C"/>
    <w:rsid w:val="005B202D"/>
    <w:rsid w:val="005B23A7"/>
    <w:rsid w:val="005B29A7"/>
    <w:rsid w:val="005B2EE7"/>
    <w:rsid w:val="005B3442"/>
    <w:rsid w:val="005B358A"/>
    <w:rsid w:val="005B3CDC"/>
    <w:rsid w:val="005B3F5A"/>
    <w:rsid w:val="005B3FBB"/>
    <w:rsid w:val="005B51C4"/>
    <w:rsid w:val="005B561C"/>
    <w:rsid w:val="005B5CE6"/>
    <w:rsid w:val="005B61F4"/>
    <w:rsid w:val="005B63C2"/>
    <w:rsid w:val="005B6BAC"/>
    <w:rsid w:val="005B6D0B"/>
    <w:rsid w:val="005B7489"/>
    <w:rsid w:val="005C03E0"/>
    <w:rsid w:val="005C0574"/>
    <w:rsid w:val="005C0ADA"/>
    <w:rsid w:val="005C0E67"/>
    <w:rsid w:val="005C1147"/>
    <w:rsid w:val="005C1623"/>
    <w:rsid w:val="005C1941"/>
    <w:rsid w:val="005C1A9E"/>
    <w:rsid w:val="005C2172"/>
    <w:rsid w:val="005C25CF"/>
    <w:rsid w:val="005C33BA"/>
    <w:rsid w:val="005C3A3D"/>
    <w:rsid w:val="005C3AC1"/>
    <w:rsid w:val="005C3AEA"/>
    <w:rsid w:val="005C3FF2"/>
    <w:rsid w:val="005C46D0"/>
    <w:rsid w:val="005C49F4"/>
    <w:rsid w:val="005C4AAF"/>
    <w:rsid w:val="005C4B28"/>
    <w:rsid w:val="005C4B9C"/>
    <w:rsid w:val="005C5A30"/>
    <w:rsid w:val="005C5C94"/>
    <w:rsid w:val="005C60EC"/>
    <w:rsid w:val="005C624D"/>
    <w:rsid w:val="005C73A2"/>
    <w:rsid w:val="005C7A9B"/>
    <w:rsid w:val="005C7D57"/>
    <w:rsid w:val="005D017A"/>
    <w:rsid w:val="005D02E4"/>
    <w:rsid w:val="005D0590"/>
    <w:rsid w:val="005D0846"/>
    <w:rsid w:val="005D155A"/>
    <w:rsid w:val="005D1943"/>
    <w:rsid w:val="005D1A21"/>
    <w:rsid w:val="005D1DAC"/>
    <w:rsid w:val="005D2065"/>
    <w:rsid w:val="005D20F2"/>
    <w:rsid w:val="005D24E1"/>
    <w:rsid w:val="005D2685"/>
    <w:rsid w:val="005D2762"/>
    <w:rsid w:val="005D284D"/>
    <w:rsid w:val="005D2B30"/>
    <w:rsid w:val="005D35A3"/>
    <w:rsid w:val="005D36B6"/>
    <w:rsid w:val="005D3CB9"/>
    <w:rsid w:val="005D3D8C"/>
    <w:rsid w:val="005D4027"/>
    <w:rsid w:val="005D491A"/>
    <w:rsid w:val="005D50A1"/>
    <w:rsid w:val="005D5722"/>
    <w:rsid w:val="005D5C0E"/>
    <w:rsid w:val="005D5C44"/>
    <w:rsid w:val="005D61D1"/>
    <w:rsid w:val="005D639B"/>
    <w:rsid w:val="005D64B6"/>
    <w:rsid w:val="005D65A4"/>
    <w:rsid w:val="005D72CA"/>
    <w:rsid w:val="005D7D13"/>
    <w:rsid w:val="005E05BA"/>
    <w:rsid w:val="005E0A50"/>
    <w:rsid w:val="005E0D09"/>
    <w:rsid w:val="005E0DA8"/>
    <w:rsid w:val="005E0E7C"/>
    <w:rsid w:val="005E1110"/>
    <w:rsid w:val="005E126D"/>
    <w:rsid w:val="005E149B"/>
    <w:rsid w:val="005E292D"/>
    <w:rsid w:val="005E2EA9"/>
    <w:rsid w:val="005E30E1"/>
    <w:rsid w:val="005E30F5"/>
    <w:rsid w:val="005E3946"/>
    <w:rsid w:val="005E3D7D"/>
    <w:rsid w:val="005E3E23"/>
    <w:rsid w:val="005E4935"/>
    <w:rsid w:val="005E5A32"/>
    <w:rsid w:val="005E5AB2"/>
    <w:rsid w:val="005E5FA0"/>
    <w:rsid w:val="005E6441"/>
    <w:rsid w:val="005E720F"/>
    <w:rsid w:val="005E7595"/>
    <w:rsid w:val="005E7C94"/>
    <w:rsid w:val="005E7D5C"/>
    <w:rsid w:val="005F02B2"/>
    <w:rsid w:val="005F02D3"/>
    <w:rsid w:val="005F0552"/>
    <w:rsid w:val="005F088D"/>
    <w:rsid w:val="005F1282"/>
    <w:rsid w:val="005F14A2"/>
    <w:rsid w:val="005F223E"/>
    <w:rsid w:val="005F2DC9"/>
    <w:rsid w:val="005F2FBE"/>
    <w:rsid w:val="005F3862"/>
    <w:rsid w:val="005F4212"/>
    <w:rsid w:val="005F46B5"/>
    <w:rsid w:val="005F49AA"/>
    <w:rsid w:val="005F6260"/>
    <w:rsid w:val="005F6845"/>
    <w:rsid w:val="005F6B04"/>
    <w:rsid w:val="00600FD9"/>
    <w:rsid w:val="006014DB"/>
    <w:rsid w:val="0060157B"/>
    <w:rsid w:val="00601607"/>
    <w:rsid w:val="006018AD"/>
    <w:rsid w:val="00601B88"/>
    <w:rsid w:val="006021A7"/>
    <w:rsid w:val="006025FD"/>
    <w:rsid w:val="006027E4"/>
    <w:rsid w:val="00602866"/>
    <w:rsid w:val="006035BE"/>
    <w:rsid w:val="00603C6C"/>
    <w:rsid w:val="0060403C"/>
    <w:rsid w:val="006041D7"/>
    <w:rsid w:val="00604362"/>
    <w:rsid w:val="00604392"/>
    <w:rsid w:val="006043F1"/>
    <w:rsid w:val="00604B0D"/>
    <w:rsid w:val="00604DCA"/>
    <w:rsid w:val="00605519"/>
    <w:rsid w:val="006062B7"/>
    <w:rsid w:val="0060686E"/>
    <w:rsid w:val="00606D4E"/>
    <w:rsid w:val="0060733F"/>
    <w:rsid w:val="006109B9"/>
    <w:rsid w:val="00610A35"/>
    <w:rsid w:val="00610A5A"/>
    <w:rsid w:val="0061100C"/>
    <w:rsid w:val="00611395"/>
    <w:rsid w:val="0061156D"/>
    <w:rsid w:val="0061194D"/>
    <w:rsid w:val="00611F37"/>
    <w:rsid w:val="00611F48"/>
    <w:rsid w:val="0061277B"/>
    <w:rsid w:val="006133DB"/>
    <w:rsid w:val="00613775"/>
    <w:rsid w:val="006138BC"/>
    <w:rsid w:val="00613AF0"/>
    <w:rsid w:val="00613F8C"/>
    <w:rsid w:val="006142AC"/>
    <w:rsid w:val="006148B1"/>
    <w:rsid w:val="006150A0"/>
    <w:rsid w:val="00615A7B"/>
    <w:rsid w:val="00615B3D"/>
    <w:rsid w:val="006160EB"/>
    <w:rsid w:val="00616245"/>
    <w:rsid w:val="0061628A"/>
    <w:rsid w:val="00616469"/>
    <w:rsid w:val="0061661E"/>
    <w:rsid w:val="00616FC3"/>
    <w:rsid w:val="006176FD"/>
    <w:rsid w:val="00617711"/>
    <w:rsid w:val="00617A40"/>
    <w:rsid w:val="00617E01"/>
    <w:rsid w:val="00620772"/>
    <w:rsid w:val="00620BC3"/>
    <w:rsid w:val="00620CB2"/>
    <w:rsid w:val="00621F41"/>
    <w:rsid w:val="006227E2"/>
    <w:rsid w:val="00622B0C"/>
    <w:rsid w:val="00622BB5"/>
    <w:rsid w:val="00622BCD"/>
    <w:rsid w:val="00622CE6"/>
    <w:rsid w:val="00622D02"/>
    <w:rsid w:val="00622EEC"/>
    <w:rsid w:val="00622FDA"/>
    <w:rsid w:val="00623061"/>
    <w:rsid w:val="006230AD"/>
    <w:rsid w:val="0062326B"/>
    <w:rsid w:val="0062364F"/>
    <w:rsid w:val="00623688"/>
    <w:rsid w:val="00623CE5"/>
    <w:rsid w:val="00624467"/>
    <w:rsid w:val="00624631"/>
    <w:rsid w:val="006253FE"/>
    <w:rsid w:val="00625535"/>
    <w:rsid w:val="00625667"/>
    <w:rsid w:val="006261EF"/>
    <w:rsid w:val="0062649B"/>
    <w:rsid w:val="006264B0"/>
    <w:rsid w:val="0062664E"/>
    <w:rsid w:val="00626BFB"/>
    <w:rsid w:val="0062710C"/>
    <w:rsid w:val="006272B0"/>
    <w:rsid w:val="0062759B"/>
    <w:rsid w:val="00627F58"/>
    <w:rsid w:val="0063072B"/>
    <w:rsid w:val="006309DF"/>
    <w:rsid w:val="00630D21"/>
    <w:rsid w:val="00630FEB"/>
    <w:rsid w:val="00631042"/>
    <w:rsid w:val="006323CD"/>
    <w:rsid w:val="00633207"/>
    <w:rsid w:val="00633508"/>
    <w:rsid w:val="00633B2F"/>
    <w:rsid w:val="00633C98"/>
    <w:rsid w:val="00633F04"/>
    <w:rsid w:val="006341A7"/>
    <w:rsid w:val="00634402"/>
    <w:rsid w:val="00634574"/>
    <w:rsid w:val="00634A99"/>
    <w:rsid w:val="00634E4A"/>
    <w:rsid w:val="00635544"/>
    <w:rsid w:val="00636319"/>
    <w:rsid w:val="006370B9"/>
    <w:rsid w:val="00637550"/>
    <w:rsid w:val="006377AC"/>
    <w:rsid w:val="00637E32"/>
    <w:rsid w:val="00637EA8"/>
    <w:rsid w:val="00640193"/>
    <w:rsid w:val="00640383"/>
    <w:rsid w:val="006408D0"/>
    <w:rsid w:val="00640F47"/>
    <w:rsid w:val="00641018"/>
    <w:rsid w:val="0064107D"/>
    <w:rsid w:val="00641518"/>
    <w:rsid w:val="00641DF2"/>
    <w:rsid w:val="00641F66"/>
    <w:rsid w:val="006426C2"/>
    <w:rsid w:val="006427E9"/>
    <w:rsid w:val="00642A57"/>
    <w:rsid w:val="00642A79"/>
    <w:rsid w:val="006433DC"/>
    <w:rsid w:val="0064357F"/>
    <w:rsid w:val="00643B22"/>
    <w:rsid w:val="00643C73"/>
    <w:rsid w:val="00644CC0"/>
    <w:rsid w:val="00644EA1"/>
    <w:rsid w:val="00644F71"/>
    <w:rsid w:val="00645A35"/>
    <w:rsid w:val="00645E47"/>
    <w:rsid w:val="00645F9C"/>
    <w:rsid w:val="006466AC"/>
    <w:rsid w:val="006505D1"/>
    <w:rsid w:val="0065081C"/>
    <w:rsid w:val="00650BA0"/>
    <w:rsid w:val="006511A3"/>
    <w:rsid w:val="0065121D"/>
    <w:rsid w:val="006512F7"/>
    <w:rsid w:val="00651544"/>
    <w:rsid w:val="006516CB"/>
    <w:rsid w:val="00652447"/>
    <w:rsid w:val="0065261F"/>
    <w:rsid w:val="006527F5"/>
    <w:rsid w:val="00652B4D"/>
    <w:rsid w:val="006538C0"/>
    <w:rsid w:val="006539DF"/>
    <w:rsid w:val="00654183"/>
    <w:rsid w:val="00654471"/>
    <w:rsid w:val="006546BB"/>
    <w:rsid w:val="006550B7"/>
    <w:rsid w:val="0065522F"/>
    <w:rsid w:val="00655791"/>
    <w:rsid w:val="00656971"/>
    <w:rsid w:val="00656A80"/>
    <w:rsid w:val="00656BA7"/>
    <w:rsid w:val="006600D9"/>
    <w:rsid w:val="006604AA"/>
    <w:rsid w:val="006609FA"/>
    <w:rsid w:val="00660DFE"/>
    <w:rsid w:val="00660F30"/>
    <w:rsid w:val="00660F46"/>
    <w:rsid w:val="0066110C"/>
    <w:rsid w:val="0066125A"/>
    <w:rsid w:val="00661383"/>
    <w:rsid w:val="00661973"/>
    <w:rsid w:val="00661D4A"/>
    <w:rsid w:val="00661DAA"/>
    <w:rsid w:val="00661E9E"/>
    <w:rsid w:val="00662AAF"/>
    <w:rsid w:val="00662F6D"/>
    <w:rsid w:val="00663309"/>
    <w:rsid w:val="00663E66"/>
    <w:rsid w:val="00663FC3"/>
    <w:rsid w:val="006642F8"/>
    <w:rsid w:val="00664350"/>
    <w:rsid w:val="006647C7"/>
    <w:rsid w:val="0066606F"/>
    <w:rsid w:val="00666158"/>
    <w:rsid w:val="0066658F"/>
    <w:rsid w:val="00666E9A"/>
    <w:rsid w:val="0066759D"/>
    <w:rsid w:val="0066763C"/>
    <w:rsid w:val="00667C08"/>
    <w:rsid w:val="006704A6"/>
    <w:rsid w:val="00670502"/>
    <w:rsid w:val="00670E68"/>
    <w:rsid w:val="0067231D"/>
    <w:rsid w:val="0067291A"/>
    <w:rsid w:val="00672AB0"/>
    <w:rsid w:val="00672B6E"/>
    <w:rsid w:val="00672BB2"/>
    <w:rsid w:val="00672D14"/>
    <w:rsid w:val="006732AC"/>
    <w:rsid w:val="00674726"/>
    <w:rsid w:val="006748D7"/>
    <w:rsid w:val="00674C60"/>
    <w:rsid w:val="00675869"/>
    <w:rsid w:val="0067597B"/>
    <w:rsid w:val="00675AA2"/>
    <w:rsid w:val="00675B76"/>
    <w:rsid w:val="00675C70"/>
    <w:rsid w:val="006765DD"/>
    <w:rsid w:val="00676683"/>
    <w:rsid w:val="00676889"/>
    <w:rsid w:val="00676B0E"/>
    <w:rsid w:val="00677595"/>
    <w:rsid w:val="0067775F"/>
    <w:rsid w:val="00677AB8"/>
    <w:rsid w:val="00677CE7"/>
    <w:rsid w:val="00677CE8"/>
    <w:rsid w:val="00677D86"/>
    <w:rsid w:val="006800B2"/>
    <w:rsid w:val="006802BC"/>
    <w:rsid w:val="0068059A"/>
    <w:rsid w:val="006805AB"/>
    <w:rsid w:val="00680782"/>
    <w:rsid w:val="00681271"/>
    <w:rsid w:val="00681572"/>
    <w:rsid w:val="0068157B"/>
    <w:rsid w:val="006817B6"/>
    <w:rsid w:val="006819C6"/>
    <w:rsid w:val="00681A86"/>
    <w:rsid w:val="0068261C"/>
    <w:rsid w:val="00683283"/>
    <w:rsid w:val="00683436"/>
    <w:rsid w:val="00683AE0"/>
    <w:rsid w:val="00683CD6"/>
    <w:rsid w:val="00683DE3"/>
    <w:rsid w:val="00684587"/>
    <w:rsid w:val="00684FA4"/>
    <w:rsid w:val="006856F8"/>
    <w:rsid w:val="006858D2"/>
    <w:rsid w:val="00686A99"/>
    <w:rsid w:val="00686B85"/>
    <w:rsid w:val="006879A9"/>
    <w:rsid w:val="00687BC9"/>
    <w:rsid w:val="00690452"/>
    <w:rsid w:val="00691264"/>
    <w:rsid w:val="006914A6"/>
    <w:rsid w:val="00691C18"/>
    <w:rsid w:val="00692219"/>
    <w:rsid w:val="0069237F"/>
    <w:rsid w:val="00692D73"/>
    <w:rsid w:val="00692F71"/>
    <w:rsid w:val="00693073"/>
    <w:rsid w:val="0069364A"/>
    <w:rsid w:val="00693713"/>
    <w:rsid w:val="006937C9"/>
    <w:rsid w:val="00694029"/>
    <w:rsid w:val="0069430A"/>
    <w:rsid w:val="00694584"/>
    <w:rsid w:val="00694E3B"/>
    <w:rsid w:val="00695D3C"/>
    <w:rsid w:val="006968A9"/>
    <w:rsid w:val="00696B40"/>
    <w:rsid w:val="006970D1"/>
    <w:rsid w:val="006976A3"/>
    <w:rsid w:val="0069775B"/>
    <w:rsid w:val="006979C7"/>
    <w:rsid w:val="00697AEA"/>
    <w:rsid w:val="00697D10"/>
    <w:rsid w:val="00697DE3"/>
    <w:rsid w:val="006A0B21"/>
    <w:rsid w:val="006A0C71"/>
    <w:rsid w:val="006A0EE2"/>
    <w:rsid w:val="006A165E"/>
    <w:rsid w:val="006A1AA2"/>
    <w:rsid w:val="006A1BCC"/>
    <w:rsid w:val="006A20F2"/>
    <w:rsid w:val="006A24A4"/>
    <w:rsid w:val="006A2E05"/>
    <w:rsid w:val="006A2E81"/>
    <w:rsid w:val="006A2ED4"/>
    <w:rsid w:val="006A3323"/>
    <w:rsid w:val="006A34A6"/>
    <w:rsid w:val="006A37BC"/>
    <w:rsid w:val="006A38AA"/>
    <w:rsid w:val="006A3B49"/>
    <w:rsid w:val="006A3BC8"/>
    <w:rsid w:val="006A3C60"/>
    <w:rsid w:val="006A416C"/>
    <w:rsid w:val="006A438F"/>
    <w:rsid w:val="006A4B2A"/>
    <w:rsid w:val="006A4DEB"/>
    <w:rsid w:val="006A5181"/>
    <w:rsid w:val="006A5838"/>
    <w:rsid w:val="006A5E42"/>
    <w:rsid w:val="006A704B"/>
    <w:rsid w:val="006B04F4"/>
    <w:rsid w:val="006B0DF9"/>
    <w:rsid w:val="006B1034"/>
    <w:rsid w:val="006B1842"/>
    <w:rsid w:val="006B2CDF"/>
    <w:rsid w:val="006B32D0"/>
    <w:rsid w:val="006B3438"/>
    <w:rsid w:val="006B357D"/>
    <w:rsid w:val="006B38A4"/>
    <w:rsid w:val="006B3B24"/>
    <w:rsid w:val="006B3DC4"/>
    <w:rsid w:val="006B47F7"/>
    <w:rsid w:val="006B5275"/>
    <w:rsid w:val="006B568D"/>
    <w:rsid w:val="006B5C06"/>
    <w:rsid w:val="006B5DCA"/>
    <w:rsid w:val="006B5E3F"/>
    <w:rsid w:val="006B60F0"/>
    <w:rsid w:val="006B6277"/>
    <w:rsid w:val="006B6377"/>
    <w:rsid w:val="006B6547"/>
    <w:rsid w:val="006B67BD"/>
    <w:rsid w:val="006B6DE8"/>
    <w:rsid w:val="006B6FB2"/>
    <w:rsid w:val="006B7020"/>
    <w:rsid w:val="006B7198"/>
    <w:rsid w:val="006B7940"/>
    <w:rsid w:val="006B7BFB"/>
    <w:rsid w:val="006B7C2C"/>
    <w:rsid w:val="006C04DA"/>
    <w:rsid w:val="006C05DE"/>
    <w:rsid w:val="006C06D9"/>
    <w:rsid w:val="006C0838"/>
    <w:rsid w:val="006C0A1C"/>
    <w:rsid w:val="006C0ABF"/>
    <w:rsid w:val="006C0B2B"/>
    <w:rsid w:val="006C0CFB"/>
    <w:rsid w:val="006C1BA6"/>
    <w:rsid w:val="006C2970"/>
    <w:rsid w:val="006C2AAB"/>
    <w:rsid w:val="006C2BF5"/>
    <w:rsid w:val="006C2EA7"/>
    <w:rsid w:val="006C318F"/>
    <w:rsid w:val="006C322D"/>
    <w:rsid w:val="006C3744"/>
    <w:rsid w:val="006C381E"/>
    <w:rsid w:val="006C3C26"/>
    <w:rsid w:val="006C4287"/>
    <w:rsid w:val="006C4656"/>
    <w:rsid w:val="006C4EA3"/>
    <w:rsid w:val="006C56AD"/>
    <w:rsid w:val="006C5B5A"/>
    <w:rsid w:val="006C5B96"/>
    <w:rsid w:val="006C639C"/>
    <w:rsid w:val="006C6484"/>
    <w:rsid w:val="006C65E8"/>
    <w:rsid w:val="006C6986"/>
    <w:rsid w:val="006C72BD"/>
    <w:rsid w:val="006C73F2"/>
    <w:rsid w:val="006C768E"/>
    <w:rsid w:val="006C7761"/>
    <w:rsid w:val="006D05D9"/>
    <w:rsid w:val="006D120A"/>
    <w:rsid w:val="006D150C"/>
    <w:rsid w:val="006D168B"/>
    <w:rsid w:val="006D1E03"/>
    <w:rsid w:val="006D2148"/>
    <w:rsid w:val="006D22DD"/>
    <w:rsid w:val="006D2307"/>
    <w:rsid w:val="006D2791"/>
    <w:rsid w:val="006D2E3E"/>
    <w:rsid w:val="006D2F59"/>
    <w:rsid w:val="006D3974"/>
    <w:rsid w:val="006D454B"/>
    <w:rsid w:val="006D4801"/>
    <w:rsid w:val="006D4C39"/>
    <w:rsid w:val="006D4FCA"/>
    <w:rsid w:val="006D5255"/>
    <w:rsid w:val="006D53B3"/>
    <w:rsid w:val="006D5A33"/>
    <w:rsid w:val="006D5DCF"/>
    <w:rsid w:val="006D5E8B"/>
    <w:rsid w:val="006D739E"/>
    <w:rsid w:val="006D7A08"/>
    <w:rsid w:val="006D7A27"/>
    <w:rsid w:val="006D7A61"/>
    <w:rsid w:val="006D7CA7"/>
    <w:rsid w:val="006E029A"/>
    <w:rsid w:val="006E1A4D"/>
    <w:rsid w:val="006E26AC"/>
    <w:rsid w:val="006E2BB9"/>
    <w:rsid w:val="006E4462"/>
    <w:rsid w:val="006E47E6"/>
    <w:rsid w:val="006E47F2"/>
    <w:rsid w:val="006E4C1D"/>
    <w:rsid w:val="006E5359"/>
    <w:rsid w:val="006E54A5"/>
    <w:rsid w:val="006E56ED"/>
    <w:rsid w:val="006E590E"/>
    <w:rsid w:val="006E640A"/>
    <w:rsid w:val="006E655E"/>
    <w:rsid w:val="006E65F8"/>
    <w:rsid w:val="006E69AE"/>
    <w:rsid w:val="006E7A7D"/>
    <w:rsid w:val="006F017C"/>
    <w:rsid w:val="006F057F"/>
    <w:rsid w:val="006F06D6"/>
    <w:rsid w:val="006F097B"/>
    <w:rsid w:val="006F09EE"/>
    <w:rsid w:val="006F0CCC"/>
    <w:rsid w:val="006F16E7"/>
    <w:rsid w:val="006F18AE"/>
    <w:rsid w:val="006F1E5C"/>
    <w:rsid w:val="006F2122"/>
    <w:rsid w:val="006F2A9A"/>
    <w:rsid w:val="006F2DAD"/>
    <w:rsid w:val="006F3102"/>
    <w:rsid w:val="006F3517"/>
    <w:rsid w:val="006F385F"/>
    <w:rsid w:val="006F3C8B"/>
    <w:rsid w:val="006F3D0D"/>
    <w:rsid w:val="006F4847"/>
    <w:rsid w:val="006F53D9"/>
    <w:rsid w:val="006F5417"/>
    <w:rsid w:val="006F5D36"/>
    <w:rsid w:val="006F5D4E"/>
    <w:rsid w:val="006F6D3A"/>
    <w:rsid w:val="006F6F85"/>
    <w:rsid w:val="006F72BA"/>
    <w:rsid w:val="006F76CF"/>
    <w:rsid w:val="006F7CFF"/>
    <w:rsid w:val="007006E3"/>
    <w:rsid w:val="0070098E"/>
    <w:rsid w:val="00701199"/>
    <w:rsid w:val="00701515"/>
    <w:rsid w:val="007015CC"/>
    <w:rsid w:val="00701733"/>
    <w:rsid w:val="00701BDC"/>
    <w:rsid w:val="0070252E"/>
    <w:rsid w:val="00702839"/>
    <w:rsid w:val="00702BEA"/>
    <w:rsid w:val="00702CF0"/>
    <w:rsid w:val="00703997"/>
    <w:rsid w:val="007039D1"/>
    <w:rsid w:val="00703D97"/>
    <w:rsid w:val="00704014"/>
    <w:rsid w:val="007049CF"/>
    <w:rsid w:val="00704AA0"/>
    <w:rsid w:val="007058C2"/>
    <w:rsid w:val="00705B77"/>
    <w:rsid w:val="00705C39"/>
    <w:rsid w:val="00705C77"/>
    <w:rsid w:val="00705EA7"/>
    <w:rsid w:val="0070620A"/>
    <w:rsid w:val="00706A85"/>
    <w:rsid w:val="00706C23"/>
    <w:rsid w:val="00707368"/>
    <w:rsid w:val="0070743E"/>
    <w:rsid w:val="007079E3"/>
    <w:rsid w:val="007100A3"/>
    <w:rsid w:val="007100D4"/>
    <w:rsid w:val="00710808"/>
    <w:rsid w:val="007109FB"/>
    <w:rsid w:val="00710CA4"/>
    <w:rsid w:val="007110EF"/>
    <w:rsid w:val="0071121D"/>
    <w:rsid w:val="0071136E"/>
    <w:rsid w:val="007114E1"/>
    <w:rsid w:val="00711661"/>
    <w:rsid w:val="00711908"/>
    <w:rsid w:val="00711E85"/>
    <w:rsid w:val="00712573"/>
    <w:rsid w:val="00712938"/>
    <w:rsid w:val="00712948"/>
    <w:rsid w:val="007132DD"/>
    <w:rsid w:val="00713393"/>
    <w:rsid w:val="00713DBE"/>
    <w:rsid w:val="00714013"/>
    <w:rsid w:val="00714052"/>
    <w:rsid w:val="00714B60"/>
    <w:rsid w:val="00714C8B"/>
    <w:rsid w:val="0071559E"/>
    <w:rsid w:val="007162F4"/>
    <w:rsid w:val="00716708"/>
    <w:rsid w:val="00716D59"/>
    <w:rsid w:val="00716D60"/>
    <w:rsid w:val="007205D4"/>
    <w:rsid w:val="00720ED4"/>
    <w:rsid w:val="00721165"/>
    <w:rsid w:val="007211C6"/>
    <w:rsid w:val="00721B6A"/>
    <w:rsid w:val="00721E65"/>
    <w:rsid w:val="00722003"/>
    <w:rsid w:val="00722211"/>
    <w:rsid w:val="007223E5"/>
    <w:rsid w:val="00723748"/>
    <w:rsid w:val="00723BAA"/>
    <w:rsid w:val="00723CD7"/>
    <w:rsid w:val="00723D85"/>
    <w:rsid w:val="00723F9B"/>
    <w:rsid w:val="00724B44"/>
    <w:rsid w:val="0072551F"/>
    <w:rsid w:val="0072570A"/>
    <w:rsid w:val="0072685D"/>
    <w:rsid w:val="00726995"/>
    <w:rsid w:val="00726FAB"/>
    <w:rsid w:val="00727369"/>
    <w:rsid w:val="00727FB9"/>
    <w:rsid w:val="0073010A"/>
    <w:rsid w:val="00730828"/>
    <w:rsid w:val="00730964"/>
    <w:rsid w:val="00730A7A"/>
    <w:rsid w:val="00731621"/>
    <w:rsid w:val="0073164F"/>
    <w:rsid w:val="007317D4"/>
    <w:rsid w:val="00731E1E"/>
    <w:rsid w:val="00732617"/>
    <w:rsid w:val="00732823"/>
    <w:rsid w:val="00732B9F"/>
    <w:rsid w:val="007331AC"/>
    <w:rsid w:val="007334B1"/>
    <w:rsid w:val="00733905"/>
    <w:rsid w:val="00733A31"/>
    <w:rsid w:val="00733EBD"/>
    <w:rsid w:val="007347DA"/>
    <w:rsid w:val="00734C68"/>
    <w:rsid w:val="00734EE2"/>
    <w:rsid w:val="00734F0A"/>
    <w:rsid w:val="00735707"/>
    <w:rsid w:val="00735736"/>
    <w:rsid w:val="00735CAF"/>
    <w:rsid w:val="00735D22"/>
    <w:rsid w:val="00735E46"/>
    <w:rsid w:val="00735E93"/>
    <w:rsid w:val="00736B88"/>
    <w:rsid w:val="00737B0F"/>
    <w:rsid w:val="00740293"/>
    <w:rsid w:val="00740370"/>
    <w:rsid w:val="007414EF"/>
    <w:rsid w:val="007416AC"/>
    <w:rsid w:val="0074229F"/>
    <w:rsid w:val="00742335"/>
    <w:rsid w:val="00742557"/>
    <w:rsid w:val="00742848"/>
    <w:rsid w:val="00742B61"/>
    <w:rsid w:val="00743069"/>
    <w:rsid w:val="00743684"/>
    <w:rsid w:val="00743CF9"/>
    <w:rsid w:val="00744143"/>
    <w:rsid w:val="00744783"/>
    <w:rsid w:val="00744B5B"/>
    <w:rsid w:val="00744E9E"/>
    <w:rsid w:val="00745365"/>
    <w:rsid w:val="00745558"/>
    <w:rsid w:val="00745616"/>
    <w:rsid w:val="0074586C"/>
    <w:rsid w:val="00745BE8"/>
    <w:rsid w:val="00745E7F"/>
    <w:rsid w:val="00745E80"/>
    <w:rsid w:val="0074600C"/>
    <w:rsid w:val="007465A5"/>
    <w:rsid w:val="0074761C"/>
    <w:rsid w:val="00747C7D"/>
    <w:rsid w:val="00750757"/>
    <w:rsid w:val="0075082F"/>
    <w:rsid w:val="007509E2"/>
    <w:rsid w:val="00751445"/>
    <w:rsid w:val="00751486"/>
    <w:rsid w:val="007518A7"/>
    <w:rsid w:val="00751A6D"/>
    <w:rsid w:val="00751CEA"/>
    <w:rsid w:val="00751E9A"/>
    <w:rsid w:val="00752751"/>
    <w:rsid w:val="0075309F"/>
    <w:rsid w:val="00753324"/>
    <w:rsid w:val="00754197"/>
    <w:rsid w:val="007541EF"/>
    <w:rsid w:val="00754A7D"/>
    <w:rsid w:val="00754AD9"/>
    <w:rsid w:val="00754EBB"/>
    <w:rsid w:val="00754EF0"/>
    <w:rsid w:val="00755695"/>
    <w:rsid w:val="00755C71"/>
    <w:rsid w:val="00755EAA"/>
    <w:rsid w:val="00755FFC"/>
    <w:rsid w:val="0075614C"/>
    <w:rsid w:val="00756152"/>
    <w:rsid w:val="00756841"/>
    <w:rsid w:val="00756E8F"/>
    <w:rsid w:val="007570CA"/>
    <w:rsid w:val="00757184"/>
    <w:rsid w:val="00757686"/>
    <w:rsid w:val="00757733"/>
    <w:rsid w:val="0075778D"/>
    <w:rsid w:val="00757CF4"/>
    <w:rsid w:val="00757EEE"/>
    <w:rsid w:val="00760669"/>
    <w:rsid w:val="007606AA"/>
    <w:rsid w:val="00760FA0"/>
    <w:rsid w:val="0076112B"/>
    <w:rsid w:val="00761433"/>
    <w:rsid w:val="007617F3"/>
    <w:rsid w:val="00761D64"/>
    <w:rsid w:val="00761E60"/>
    <w:rsid w:val="00762015"/>
    <w:rsid w:val="00762C30"/>
    <w:rsid w:val="00762CAA"/>
    <w:rsid w:val="00762DFA"/>
    <w:rsid w:val="00762ED8"/>
    <w:rsid w:val="00763262"/>
    <w:rsid w:val="0076330A"/>
    <w:rsid w:val="00763AFB"/>
    <w:rsid w:val="00764096"/>
    <w:rsid w:val="0076453B"/>
    <w:rsid w:val="0076458B"/>
    <w:rsid w:val="0076488A"/>
    <w:rsid w:val="00765524"/>
    <w:rsid w:val="007662DA"/>
    <w:rsid w:val="00766C18"/>
    <w:rsid w:val="00766D15"/>
    <w:rsid w:val="00767058"/>
    <w:rsid w:val="00767320"/>
    <w:rsid w:val="00767C99"/>
    <w:rsid w:val="00770488"/>
    <w:rsid w:val="007704D2"/>
    <w:rsid w:val="00770662"/>
    <w:rsid w:val="00770EE9"/>
    <w:rsid w:val="0077110A"/>
    <w:rsid w:val="00771C80"/>
    <w:rsid w:val="00772254"/>
    <w:rsid w:val="00772455"/>
    <w:rsid w:val="00772600"/>
    <w:rsid w:val="00772CA4"/>
    <w:rsid w:val="00773161"/>
    <w:rsid w:val="007731C8"/>
    <w:rsid w:val="007732BD"/>
    <w:rsid w:val="00773350"/>
    <w:rsid w:val="0077367D"/>
    <w:rsid w:val="00773CAA"/>
    <w:rsid w:val="00773F58"/>
    <w:rsid w:val="0077414F"/>
    <w:rsid w:val="007749BF"/>
    <w:rsid w:val="00774F16"/>
    <w:rsid w:val="007752AF"/>
    <w:rsid w:val="00776366"/>
    <w:rsid w:val="0077644D"/>
    <w:rsid w:val="0077695C"/>
    <w:rsid w:val="00776F94"/>
    <w:rsid w:val="00777113"/>
    <w:rsid w:val="00777509"/>
    <w:rsid w:val="00777789"/>
    <w:rsid w:val="00777876"/>
    <w:rsid w:val="00777DB3"/>
    <w:rsid w:val="00780A2D"/>
    <w:rsid w:val="00780CD2"/>
    <w:rsid w:val="00780ED7"/>
    <w:rsid w:val="007812F8"/>
    <w:rsid w:val="00781982"/>
    <w:rsid w:val="00781EE9"/>
    <w:rsid w:val="00782CAC"/>
    <w:rsid w:val="00782DF6"/>
    <w:rsid w:val="00782EDD"/>
    <w:rsid w:val="00783146"/>
    <w:rsid w:val="00783238"/>
    <w:rsid w:val="007839F1"/>
    <w:rsid w:val="00783A19"/>
    <w:rsid w:val="00783D5D"/>
    <w:rsid w:val="007840DB"/>
    <w:rsid w:val="007842F6"/>
    <w:rsid w:val="00784342"/>
    <w:rsid w:val="00784581"/>
    <w:rsid w:val="0078463F"/>
    <w:rsid w:val="007846C0"/>
    <w:rsid w:val="00784835"/>
    <w:rsid w:val="0078522D"/>
    <w:rsid w:val="007853E0"/>
    <w:rsid w:val="007858AB"/>
    <w:rsid w:val="007873AD"/>
    <w:rsid w:val="007874F0"/>
    <w:rsid w:val="007876C2"/>
    <w:rsid w:val="0078770D"/>
    <w:rsid w:val="00787E7C"/>
    <w:rsid w:val="00790956"/>
    <w:rsid w:val="00790DBB"/>
    <w:rsid w:val="00790E4B"/>
    <w:rsid w:val="00790F82"/>
    <w:rsid w:val="0079123D"/>
    <w:rsid w:val="00791C64"/>
    <w:rsid w:val="00791F5F"/>
    <w:rsid w:val="00791F8E"/>
    <w:rsid w:val="00792248"/>
    <w:rsid w:val="0079230E"/>
    <w:rsid w:val="007923EB"/>
    <w:rsid w:val="007925EF"/>
    <w:rsid w:val="007937B3"/>
    <w:rsid w:val="007937D5"/>
    <w:rsid w:val="00793C4E"/>
    <w:rsid w:val="00794552"/>
    <w:rsid w:val="0079547A"/>
    <w:rsid w:val="007956C3"/>
    <w:rsid w:val="00795C9C"/>
    <w:rsid w:val="007962CE"/>
    <w:rsid w:val="0079654B"/>
    <w:rsid w:val="007974B2"/>
    <w:rsid w:val="0079760F"/>
    <w:rsid w:val="00797836"/>
    <w:rsid w:val="00797FB1"/>
    <w:rsid w:val="00797FE5"/>
    <w:rsid w:val="007A06A3"/>
    <w:rsid w:val="007A0FE6"/>
    <w:rsid w:val="007A1137"/>
    <w:rsid w:val="007A1222"/>
    <w:rsid w:val="007A14AD"/>
    <w:rsid w:val="007A1A95"/>
    <w:rsid w:val="007A1B94"/>
    <w:rsid w:val="007A1C51"/>
    <w:rsid w:val="007A21A9"/>
    <w:rsid w:val="007A2F08"/>
    <w:rsid w:val="007A33BE"/>
    <w:rsid w:val="007A3A88"/>
    <w:rsid w:val="007A3AA2"/>
    <w:rsid w:val="007A4A06"/>
    <w:rsid w:val="007A4EBB"/>
    <w:rsid w:val="007A4F05"/>
    <w:rsid w:val="007A5994"/>
    <w:rsid w:val="007A6206"/>
    <w:rsid w:val="007A62D9"/>
    <w:rsid w:val="007A6AEE"/>
    <w:rsid w:val="007A7876"/>
    <w:rsid w:val="007A7F8C"/>
    <w:rsid w:val="007B02BF"/>
    <w:rsid w:val="007B03FA"/>
    <w:rsid w:val="007B06C1"/>
    <w:rsid w:val="007B08B5"/>
    <w:rsid w:val="007B1E53"/>
    <w:rsid w:val="007B2760"/>
    <w:rsid w:val="007B292A"/>
    <w:rsid w:val="007B31D1"/>
    <w:rsid w:val="007B3741"/>
    <w:rsid w:val="007B3B65"/>
    <w:rsid w:val="007B4381"/>
    <w:rsid w:val="007B4605"/>
    <w:rsid w:val="007B4676"/>
    <w:rsid w:val="007B488D"/>
    <w:rsid w:val="007B5334"/>
    <w:rsid w:val="007B552D"/>
    <w:rsid w:val="007B6B69"/>
    <w:rsid w:val="007B6F6F"/>
    <w:rsid w:val="007B71E2"/>
    <w:rsid w:val="007B71E5"/>
    <w:rsid w:val="007B72B0"/>
    <w:rsid w:val="007B74AB"/>
    <w:rsid w:val="007B74F9"/>
    <w:rsid w:val="007C0828"/>
    <w:rsid w:val="007C0B23"/>
    <w:rsid w:val="007C0CB4"/>
    <w:rsid w:val="007C0FC3"/>
    <w:rsid w:val="007C1492"/>
    <w:rsid w:val="007C1A58"/>
    <w:rsid w:val="007C21B9"/>
    <w:rsid w:val="007C25B9"/>
    <w:rsid w:val="007C2E8E"/>
    <w:rsid w:val="007C2F5C"/>
    <w:rsid w:val="007C3454"/>
    <w:rsid w:val="007C34D1"/>
    <w:rsid w:val="007C3E34"/>
    <w:rsid w:val="007C418B"/>
    <w:rsid w:val="007C42D5"/>
    <w:rsid w:val="007C42F8"/>
    <w:rsid w:val="007C43F4"/>
    <w:rsid w:val="007C4E56"/>
    <w:rsid w:val="007C5CF7"/>
    <w:rsid w:val="007C63A7"/>
    <w:rsid w:val="007C6709"/>
    <w:rsid w:val="007C6B50"/>
    <w:rsid w:val="007C6FF6"/>
    <w:rsid w:val="007C70C0"/>
    <w:rsid w:val="007C71BF"/>
    <w:rsid w:val="007C7627"/>
    <w:rsid w:val="007D01CD"/>
    <w:rsid w:val="007D0587"/>
    <w:rsid w:val="007D0E76"/>
    <w:rsid w:val="007D0FEE"/>
    <w:rsid w:val="007D158E"/>
    <w:rsid w:val="007D20AF"/>
    <w:rsid w:val="007D304D"/>
    <w:rsid w:val="007D430D"/>
    <w:rsid w:val="007D4472"/>
    <w:rsid w:val="007D4ABD"/>
    <w:rsid w:val="007D4B42"/>
    <w:rsid w:val="007D51CC"/>
    <w:rsid w:val="007D57B1"/>
    <w:rsid w:val="007D63BC"/>
    <w:rsid w:val="007D69E7"/>
    <w:rsid w:val="007D6ADB"/>
    <w:rsid w:val="007D6C24"/>
    <w:rsid w:val="007D6DAD"/>
    <w:rsid w:val="007D6FB1"/>
    <w:rsid w:val="007D709F"/>
    <w:rsid w:val="007D71B0"/>
    <w:rsid w:val="007D7608"/>
    <w:rsid w:val="007D76F6"/>
    <w:rsid w:val="007D77B0"/>
    <w:rsid w:val="007D77CF"/>
    <w:rsid w:val="007D7850"/>
    <w:rsid w:val="007E0086"/>
    <w:rsid w:val="007E0287"/>
    <w:rsid w:val="007E0F40"/>
    <w:rsid w:val="007E144A"/>
    <w:rsid w:val="007E17DB"/>
    <w:rsid w:val="007E2276"/>
    <w:rsid w:val="007E23FD"/>
    <w:rsid w:val="007E2A7C"/>
    <w:rsid w:val="007E2AB4"/>
    <w:rsid w:val="007E32A0"/>
    <w:rsid w:val="007E3909"/>
    <w:rsid w:val="007E3ED6"/>
    <w:rsid w:val="007E3FF6"/>
    <w:rsid w:val="007E5530"/>
    <w:rsid w:val="007E56BC"/>
    <w:rsid w:val="007E607C"/>
    <w:rsid w:val="007E6234"/>
    <w:rsid w:val="007E6808"/>
    <w:rsid w:val="007E6919"/>
    <w:rsid w:val="007E7779"/>
    <w:rsid w:val="007E7FCD"/>
    <w:rsid w:val="007E7FDB"/>
    <w:rsid w:val="007F1044"/>
    <w:rsid w:val="007F15F6"/>
    <w:rsid w:val="007F1A3B"/>
    <w:rsid w:val="007F1AC5"/>
    <w:rsid w:val="007F1C35"/>
    <w:rsid w:val="007F1E59"/>
    <w:rsid w:val="007F24A0"/>
    <w:rsid w:val="007F2B3A"/>
    <w:rsid w:val="007F33B3"/>
    <w:rsid w:val="007F34AA"/>
    <w:rsid w:val="007F3546"/>
    <w:rsid w:val="007F3FC5"/>
    <w:rsid w:val="007F4102"/>
    <w:rsid w:val="007F418A"/>
    <w:rsid w:val="007F4E21"/>
    <w:rsid w:val="007F51CF"/>
    <w:rsid w:val="007F6650"/>
    <w:rsid w:val="007F6836"/>
    <w:rsid w:val="007F6A1A"/>
    <w:rsid w:val="007F6EFE"/>
    <w:rsid w:val="007F7145"/>
    <w:rsid w:val="007F7203"/>
    <w:rsid w:val="007F7D00"/>
    <w:rsid w:val="00800E8F"/>
    <w:rsid w:val="00800FBC"/>
    <w:rsid w:val="00801164"/>
    <w:rsid w:val="00801C5A"/>
    <w:rsid w:val="00801D35"/>
    <w:rsid w:val="00801F78"/>
    <w:rsid w:val="00802156"/>
    <w:rsid w:val="00802F2E"/>
    <w:rsid w:val="00803542"/>
    <w:rsid w:val="00803595"/>
    <w:rsid w:val="00803638"/>
    <w:rsid w:val="0080382B"/>
    <w:rsid w:val="008040FA"/>
    <w:rsid w:val="0080415D"/>
    <w:rsid w:val="008042E2"/>
    <w:rsid w:val="00804FC2"/>
    <w:rsid w:val="0080532B"/>
    <w:rsid w:val="00805620"/>
    <w:rsid w:val="008056F7"/>
    <w:rsid w:val="00805744"/>
    <w:rsid w:val="00805811"/>
    <w:rsid w:val="00805C53"/>
    <w:rsid w:val="00806BDD"/>
    <w:rsid w:val="008078D7"/>
    <w:rsid w:val="00807A12"/>
    <w:rsid w:val="00807CCB"/>
    <w:rsid w:val="00807D43"/>
    <w:rsid w:val="00810F6A"/>
    <w:rsid w:val="008111A7"/>
    <w:rsid w:val="0081191E"/>
    <w:rsid w:val="00811F35"/>
    <w:rsid w:val="00811F99"/>
    <w:rsid w:val="0081208C"/>
    <w:rsid w:val="0081242A"/>
    <w:rsid w:val="00812618"/>
    <w:rsid w:val="00812ACF"/>
    <w:rsid w:val="00812B5A"/>
    <w:rsid w:val="0081336C"/>
    <w:rsid w:val="00814B89"/>
    <w:rsid w:val="00815766"/>
    <w:rsid w:val="008157EB"/>
    <w:rsid w:val="00815F20"/>
    <w:rsid w:val="008162E0"/>
    <w:rsid w:val="0081659C"/>
    <w:rsid w:val="00816965"/>
    <w:rsid w:val="00816CEB"/>
    <w:rsid w:val="00816D38"/>
    <w:rsid w:val="00816E17"/>
    <w:rsid w:val="00816E6B"/>
    <w:rsid w:val="00817673"/>
    <w:rsid w:val="008204AD"/>
    <w:rsid w:val="008207F6"/>
    <w:rsid w:val="00820C01"/>
    <w:rsid w:val="00820E5D"/>
    <w:rsid w:val="0082124A"/>
    <w:rsid w:val="00821CB7"/>
    <w:rsid w:val="008229A4"/>
    <w:rsid w:val="00822B00"/>
    <w:rsid w:val="00822EA6"/>
    <w:rsid w:val="0082331A"/>
    <w:rsid w:val="00823536"/>
    <w:rsid w:val="00823B7D"/>
    <w:rsid w:val="00823F90"/>
    <w:rsid w:val="00823FD9"/>
    <w:rsid w:val="0082426C"/>
    <w:rsid w:val="00824622"/>
    <w:rsid w:val="00824852"/>
    <w:rsid w:val="00824A49"/>
    <w:rsid w:val="008253C9"/>
    <w:rsid w:val="0082580B"/>
    <w:rsid w:val="00825811"/>
    <w:rsid w:val="00825DB2"/>
    <w:rsid w:val="00825DB7"/>
    <w:rsid w:val="00825F87"/>
    <w:rsid w:val="00826297"/>
    <w:rsid w:val="00826C45"/>
    <w:rsid w:val="00827033"/>
    <w:rsid w:val="008277AB"/>
    <w:rsid w:val="008279A5"/>
    <w:rsid w:val="008279DC"/>
    <w:rsid w:val="00827D2C"/>
    <w:rsid w:val="00827DCA"/>
    <w:rsid w:val="00827EFB"/>
    <w:rsid w:val="008303EF"/>
    <w:rsid w:val="0083119A"/>
    <w:rsid w:val="008312BE"/>
    <w:rsid w:val="0083198D"/>
    <w:rsid w:val="00831A83"/>
    <w:rsid w:val="00831EA6"/>
    <w:rsid w:val="00832124"/>
    <w:rsid w:val="008329C6"/>
    <w:rsid w:val="008335B3"/>
    <w:rsid w:val="0083365C"/>
    <w:rsid w:val="00833828"/>
    <w:rsid w:val="00834D50"/>
    <w:rsid w:val="00834DB1"/>
    <w:rsid w:val="00835241"/>
    <w:rsid w:val="00835698"/>
    <w:rsid w:val="00836733"/>
    <w:rsid w:val="00837285"/>
    <w:rsid w:val="00837787"/>
    <w:rsid w:val="00837E6F"/>
    <w:rsid w:val="0084004D"/>
    <w:rsid w:val="0084042B"/>
    <w:rsid w:val="008406C8"/>
    <w:rsid w:val="00840FC6"/>
    <w:rsid w:val="008412BD"/>
    <w:rsid w:val="00841376"/>
    <w:rsid w:val="00841644"/>
    <w:rsid w:val="0084197A"/>
    <w:rsid w:val="00841D1E"/>
    <w:rsid w:val="00841E05"/>
    <w:rsid w:val="008431E9"/>
    <w:rsid w:val="0084346D"/>
    <w:rsid w:val="00843E71"/>
    <w:rsid w:val="00844269"/>
    <w:rsid w:val="008445E3"/>
    <w:rsid w:val="00845311"/>
    <w:rsid w:val="008453B8"/>
    <w:rsid w:val="008456DD"/>
    <w:rsid w:val="00845CDE"/>
    <w:rsid w:val="00846297"/>
    <w:rsid w:val="0084645E"/>
    <w:rsid w:val="00846487"/>
    <w:rsid w:val="008467FE"/>
    <w:rsid w:val="00846826"/>
    <w:rsid w:val="00846B81"/>
    <w:rsid w:val="00846DAB"/>
    <w:rsid w:val="008472FE"/>
    <w:rsid w:val="00847320"/>
    <w:rsid w:val="008478E4"/>
    <w:rsid w:val="00847B34"/>
    <w:rsid w:val="00847B46"/>
    <w:rsid w:val="00847B9B"/>
    <w:rsid w:val="0085053F"/>
    <w:rsid w:val="00850CCA"/>
    <w:rsid w:val="00851311"/>
    <w:rsid w:val="0085197F"/>
    <w:rsid w:val="00851A51"/>
    <w:rsid w:val="00851FC1"/>
    <w:rsid w:val="00851FC8"/>
    <w:rsid w:val="00852855"/>
    <w:rsid w:val="00852D85"/>
    <w:rsid w:val="00852DEA"/>
    <w:rsid w:val="00852F4F"/>
    <w:rsid w:val="00853546"/>
    <w:rsid w:val="00853C5F"/>
    <w:rsid w:val="00853C62"/>
    <w:rsid w:val="00854660"/>
    <w:rsid w:val="00854710"/>
    <w:rsid w:val="00854A06"/>
    <w:rsid w:val="00854B79"/>
    <w:rsid w:val="00855090"/>
    <w:rsid w:val="0085596D"/>
    <w:rsid w:val="00855C9F"/>
    <w:rsid w:val="00855EB8"/>
    <w:rsid w:val="00856281"/>
    <w:rsid w:val="008564A7"/>
    <w:rsid w:val="008564AE"/>
    <w:rsid w:val="00856FA6"/>
    <w:rsid w:val="00856FCB"/>
    <w:rsid w:val="0085703D"/>
    <w:rsid w:val="008572D2"/>
    <w:rsid w:val="0085735F"/>
    <w:rsid w:val="008602BD"/>
    <w:rsid w:val="00860777"/>
    <w:rsid w:val="00860C8D"/>
    <w:rsid w:val="00860EAB"/>
    <w:rsid w:val="00861118"/>
    <w:rsid w:val="0086156A"/>
    <w:rsid w:val="00861F8E"/>
    <w:rsid w:val="00862259"/>
    <w:rsid w:val="00862335"/>
    <w:rsid w:val="0086267D"/>
    <w:rsid w:val="00862F0D"/>
    <w:rsid w:val="008632F7"/>
    <w:rsid w:val="00863532"/>
    <w:rsid w:val="0086372A"/>
    <w:rsid w:val="0086459A"/>
    <w:rsid w:val="00864706"/>
    <w:rsid w:val="00864D5E"/>
    <w:rsid w:val="00864F6B"/>
    <w:rsid w:val="00865034"/>
    <w:rsid w:val="008656F5"/>
    <w:rsid w:val="00865920"/>
    <w:rsid w:val="00865B58"/>
    <w:rsid w:val="00865E0D"/>
    <w:rsid w:val="00866221"/>
    <w:rsid w:val="00866390"/>
    <w:rsid w:val="00866A46"/>
    <w:rsid w:val="00866A70"/>
    <w:rsid w:val="00866CFF"/>
    <w:rsid w:val="0086704A"/>
    <w:rsid w:val="00867688"/>
    <w:rsid w:val="00867B72"/>
    <w:rsid w:val="00870282"/>
    <w:rsid w:val="0087030B"/>
    <w:rsid w:val="0087059A"/>
    <w:rsid w:val="00870717"/>
    <w:rsid w:val="00870F9B"/>
    <w:rsid w:val="00872D29"/>
    <w:rsid w:val="00873137"/>
    <w:rsid w:val="00873450"/>
    <w:rsid w:val="008734B0"/>
    <w:rsid w:val="008737D3"/>
    <w:rsid w:val="00873B42"/>
    <w:rsid w:val="00873EF4"/>
    <w:rsid w:val="0087476E"/>
    <w:rsid w:val="0087495D"/>
    <w:rsid w:val="00874CF0"/>
    <w:rsid w:val="00874DE7"/>
    <w:rsid w:val="00875764"/>
    <w:rsid w:val="0087623D"/>
    <w:rsid w:val="00876274"/>
    <w:rsid w:val="00876365"/>
    <w:rsid w:val="008764E5"/>
    <w:rsid w:val="00876D74"/>
    <w:rsid w:val="0087721E"/>
    <w:rsid w:val="0087793F"/>
    <w:rsid w:val="00877F4C"/>
    <w:rsid w:val="00880166"/>
    <w:rsid w:val="00880F09"/>
    <w:rsid w:val="00881068"/>
    <w:rsid w:val="00881165"/>
    <w:rsid w:val="0088141A"/>
    <w:rsid w:val="00881E2A"/>
    <w:rsid w:val="00881F16"/>
    <w:rsid w:val="008820A8"/>
    <w:rsid w:val="00882356"/>
    <w:rsid w:val="008827CB"/>
    <w:rsid w:val="0088285B"/>
    <w:rsid w:val="00882FD5"/>
    <w:rsid w:val="00883939"/>
    <w:rsid w:val="00883961"/>
    <w:rsid w:val="008839A5"/>
    <w:rsid w:val="008840E4"/>
    <w:rsid w:val="00884507"/>
    <w:rsid w:val="0088488B"/>
    <w:rsid w:val="008849E1"/>
    <w:rsid w:val="00884D6A"/>
    <w:rsid w:val="00885181"/>
    <w:rsid w:val="0088544E"/>
    <w:rsid w:val="00885BB9"/>
    <w:rsid w:val="00885CD0"/>
    <w:rsid w:val="00886413"/>
    <w:rsid w:val="008872C1"/>
    <w:rsid w:val="00887F12"/>
    <w:rsid w:val="00890305"/>
    <w:rsid w:val="00890F24"/>
    <w:rsid w:val="0089120B"/>
    <w:rsid w:val="00891566"/>
    <w:rsid w:val="00891786"/>
    <w:rsid w:val="00891AE9"/>
    <w:rsid w:val="00891C1B"/>
    <w:rsid w:val="00892240"/>
    <w:rsid w:val="00892E38"/>
    <w:rsid w:val="00893004"/>
    <w:rsid w:val="00893F1B"/>
    <w:rsid w:val="0089440B"/>
    <w:rsid w:val="008968DA"/>
    <w:rsid w:val="00896AA5"/>
    <w:rsid w:val="00896F48"/>
    <w:rsid w:val="00897B2A"/>
    <w:rsid w:val="00897BA3"/>
    <w:rsid w:val="00897D73"/>
    <w:rsid w:val="008A068A"/>
    <w:rsid w:val="008A06BE"/>
    <w:rsid w:val="008A0813"/>
    <w:rsid w:val="008A0BE0"/>
    <w:rsid w:val="008A1888"/>
    <w:rsid w:val="008A2077"/>
    <w:rsid w:val="008A2C2E"/>
    <w:rsid w:val="008A2C49"/>
    <w:rsid w:val="008A30DB"/>
    <w:rsid w:val="008A3705"/>
    <w:rsid w:val="008A37E1"/>
    <w:rsid w:val="008A3993"/>
    <w:rsid w:val="008A45C3"/>
    <w:rsid w:val="008A4A90"/>
    <w:rsid w:val="008A4F8B"/>
    <w:rsid w:val="008A5294"/>
    <w:rsid w:val="008A574C"/>
    <w:rsid w:val="008A5989"/>
    <w:rsid w:val="008A5B5C"/>
    <w:rsid w:val="008A5F1C"/>
    <w:rsid w:val="008A6082"/>
    <w:rsid w:val="008A60DF"/>
    <w:rsid w:val="008A6BBC"/>
    <w:rsid w:val="008A6D33"/>
    <w:rsid w:val="008A6DAB"/>
    <w:rsid w:val="008B03C0"/>
    <w:rsid w:val="008B0427"/>
    <w:rsid w:val="008B05FA"/>
    <w:rsid w:val="008B082C"/>
    <w:rsid w:val="008B0876"/>
    <w:rsid w:val="008B0A93"/>
    <w:rsid w:val="008B25A7"/>
    <w:rsid w:val="008B281A"/>
    <w:rsid w:val="008B2926"/>
    <w:rsid w:val="008B30FA"/>
    <w:rsid w:val="008B32C2"/>
    <w:rsid w:val="008B3DB5"/>
    <w:rsid w:val="008B3FBC"/>
    <w:rsid w:val="008B4004"/>
    <w:rsid w:val="008B4516"/>
    <w:rsid w:val="008B45E5"/>
    <w:rsid w:val="008B47CE"/>
    <w:rsid w:val="008B48F6"/>
    <w:rsid w:val="008B49A7"/>
    <w:rsid w:val="008B5137"/>
    <w:rsid w:val="008B5619"/>
    <w:rsid w:val="008B666F"/>
    <w:rsid w:val="008B68D6"/>
    <w:rsid w:val="008B6B28"/>
    <w:rsid w:val="008B6E5E"/>
    <w:rsid w:val="008B6FE4"/>
    <w:rsid w:val="008B72DB"/>
    <w:rsid w:val="008B773E"/>
    <w:rsid w:val="008B7C17"/>
    <w:rsid w:val="008C03FE"/>
    <w:rsid w:val="008C0479"/>
    <w:rsid w:val="008C0A55"/>
    <w:rsid w:val="008C1010"/>
    <w:rsid w:val="008C1647"/>
    <w:rsid w:val="008C16CE"/>
    <w:rsid w:val="008C24A9"/>
    <w:rsid w:val="008C2D69"/>
    <w:rsid w:val="008C3109"/>
    <w:rsid w:val="008C36B8"/>
    <w:rsid w:val="008C395C"/>
    <w:rsid w:val="008C4926"/>
    <w:rsid w:val="008C4D37"/>
    <w:rsid w:val="008C5423"/>
    <w:rsid w:val="008C5968"/>
    <w:rsid w:val="008C6257"/>
    <w:rsid w:val="008C63BD"/>
    <w:rsid w:val="008C63EE"/>
    <w:rsid w:val="008C742C"/>
    <w:rsid w:val="008C7A31"/>
    <w:rsid w:val="008D09F3"/>
    <w:rsid w:val="008D0E9E"/>
    <w:rsid w:val="008D107F"/>
    <w:rsid w:val="008D18F3"/>
    <w:rsid w:val="008D1E12"/>
    <w:rsid w:val="008D3489"/>
    <w:rsid w:val="008D3570"/>
    <w:rsid w:val="008D38AE"/>
    <w:rsid w:val="008D45BB"/>
    <w:rsid w:val="008D485E"/>
    <w:rsid w:val="008D538E"/>
    <w:rsid w:val="008D5469"/>
    <w:rsid w:val="008D5A66"/>
    <w:rsid w:val="008D5CD4"/>
    <w:rsid w:val="008D63E6"/>
    <w:rsid w:val="008D67AE"/>
    <w:rsid w:val="008D6C44"/>
    <w:rsid w:val="008D78A6"/>
    <w:rsid w:val="008D7E04"/>
    <w:rsid w:val="008E011B"/>
    <w:rsid w:val="008E0417"/>
    <w:rsid w:val="008E151F"/>
    <w:rsid w:val="008E1A14"/>
    <w:rsid w:val="008E1ACC"/>
    <w:rsid w:val="008E20E5"/>
    <w:rsid w:val="008E2445"/>
    <w:rsid w:val="008E254C"/>
    <w:rsid w:val="008E2CF0"/>
    <w:rsid w:val="008E2D5E"/>
    <w:rsid w:val="008E34E8"/>
    <w:rsid w:val="008E3775"/>
    <w:rsid w:val="008E38A5"/>
    <w:rsid w:val="008E3B79"/>
    <w:rsid w:val="008E3FFE"/>
    <w:rsid w:val="008E55DC"/>
    <w:rsid w:val="008E5AEE"/>
    <w:rsid w:val="008E5B5C"/>
    <w:rsid w:val="008E6263"/>
    <w:rsid w:val="008E64EC"/>
    <w:rsid w:val="008E656A"/>
    <w:rsid w:val="008E682C"/>
    <w:rsid w:val="008E68BB"/>
    <w:rsid w:val="008E6E21"/>
    <w:rsid w:val="008E7128"/>
    <w:rsid w:val="008E71D5"/>
    <w:rsid w:val="008E729D"/>
    <w:rsid w:val="008E7408"/>
    <w:rsid w:val="008E7A2B"/>
    <w:rsid w:val="008E7FE3"/>
    <w:rsid w:val="008F00E2"/>
    <w:rsid w:val="008F0AB8"/>
    <w:rsid w:val="008F0BDF"/>
    <w:rsid w:val="008F0BF8"/>
    <w:rsid w:val="008F1E39"/>
    <w:rsid w:val="008F20F2"/>
    <w:rsid w:val="008F2255"/>
    <w:rsid w:val="008F24C4"/>
    <w:rsid w:val="008F2B90"/>
    <w:rsid w:val="008F2CB4"/>
    <w:rsid w:val="008F2D11"/>
    <w:rsid w:val="008F2D24"/>
    <w:rsid w:val="008F2F4F"/>
    <w:rsid w:val="008F356F"/>
    <w:rsid w:val="008F3591"/>
    <w:rsid w:val="008F3795"/>
    <w:rsid w:val="008F3FEE"/>
    <w:rsid w:val="008F4004"/>
    <w:rsid w:val="008F4581"/>
    <w:rsid w:val="008F4B71"/>
    <w:rsid w:val="008F4D4A"/>
    <w:rsid w:val="008F4EF6"/>
    <w:rsid w:val="008F5A27"/>
    <w:rsid w:val="008F655A"/>
    <w:rsid w:val="008F66C2"/>
    <w:rsid w:val="008F6881"/>
    <w:rsid w:val="008F6AFC"/>
    <w:rsid w:val="008F6B5E"/>
    <w:rsid w:val="008F6CE3"/>
    <w:rsid w:val="008F6EC8"/>
    <w:rsid w:val="008F71AE"/>
    <w:rsid w:val="008F72E6"/>
    <w:rsid w:val="008F743B"/>
    <w:rsid w:val="008F7894"/>
    <w:rsid w:val="0090020D"/>
    <w:rsid w:val="0090057A"/>
    <w:rsid w:val="0090099B"/>
    <w:rsid w:val="00900A66"/>
    <w:rsid w:val="00900E83"/>
    <w:rsid w:val="00900F60"/>
    <w:rsid w:val="0090122F"/>
    <w:rsid w:val="00901438"/>
    <w:rsid w:val="009015F7"/>
    <w:rsid w:val="009027AD"/>
    <w:rsid w:val="00902C7A"/>
    <w:rsid w:val="0090355B"/>
    <w:rsid w:val="00904001"/>
    <w:rsid w:val="00904331"/>
    <w:rsid w:val="00904673"/>
    <w:rsid w:val="00904E62"/>
    <w:rsid w:val="00905769"/>
    <w:rsid w:val="009059A9"/>
    <w:rsid w:val="00905E10"/>
    <w:rsid w:val="009060E0"/>
    <w:rsid w:val="0090624D"/>
    <w:rsid w:val="009067A4"/>
    <w:rsid w:val="009067C4"/>
    <w:rsid w:val="00906B2D"/>
    <w:rsid w:val="00906BB4"/>
    <w:rsid w:val="00906CA7"/>
    <w:rsid w:val="00907671"/>
    <w:rsid w:val="00907822"/>
    <w:rsid w:val="00907C6C"/>
    <w:rsid w:val="00907E02"/>
    <w:rsid w:val="009102B3"/>
    <w:rsid w:val="00910363"/>
    <w:rsid w:val="00910559"/>
    <w:rsid w:val="009112E9"/>
    <w:rsid w:val="0091244A"/>
    <w:rsid w:val="00912BA7"/>
    <w:rsid w:val="00912DF6"/>
    <w:rsid w:val="00913032"/>
    <w:rsid w:val="0091342A"/>
    <w:rsid w:val="00914106"/>
    <w:rsid w:val="00914363"/>
    <w:rsid w:val="00914758"/>
    <w:rsid w:val="0091515C"/>
    <w:rsid w:val="009157CC"/>
    <w:rsid w:val="00915CBC"/>
    <w:rsid w:val="009160C7"/>
    <w:rsid w:val="009164D2"/>
    <w:rsid w:val="00916534"/>
    <w:rsid w:val="009165D5"/>
    <w:rsid w:val="009168DF"/>
    <w:rsid w:val="00916F0A"/>
    <w:rsid w:val="009171F0"/>
    <w:rsid w:val="00917228"/>
    <w:rsid w:val="009175DE"/>
    <w:rsid w:val="00917746"/>
    <w:rsid w:val="00917866"/>
    <w:rsid w:val="009203D9"/>
    <w:rsid w:val="0092072B"/>
    <w:rsid w:val="00920A04"/>
    <w:rsid w:val="00920D71"/>
    <w:rsid w:val="00920ED6"/>
    <w:rsid w:val="0092187F"/>
    <w:rsid w:val="009219B5"/>
    <w:rsid w:val="00922085"/>
    <w:rsid w:val="009228F7"/>
    <w:rsid w:val="0092297C"/>
    <w:rsid w:val="009229EA"/>
    <w:rsid w:val="00922D24"/>
    <w:rsid w:val="00923C78"/>
    <w:rsid w:val="00923E89"/>
    <w:rsid w:val="009249CA"/>
    <w:rsid w:val="00925166"/>
    <w:rsid w:val="009253FA"/>
    <w:rsid w:val="009260D8"/>
    <w:rsid w:val="009260FC"/>
    <w:rsid w:val="0092656F"/>
    <w:rsid w:val="009267DD"/>
    <w:rsid w:val="00926D55"/>
    <w:rsid w:val="00927109"/>
    <w:rsid w:val="0092785A"/>
    <w:rsid w:val="00927941"/>
    <w:rsid w:val="00927B04"/>
    <w:rsid w:val="0093042B"/>
    <w:rsid w:val="009307A1"/>
    <w:rsid w:val="009307E1"/>
    <w:rsid w:val="00930B7A"/>
    <w:rsid w:val="00930D58"/>
    <w:rsid w:val="00931723"/>
    <w:rsid w:val="0093220F"/>
    <w:rsid w:val="00932564"/>
    <w:rsid w:val="00932BA6"/>
    <w:rsid w:val="00932C81"/>
    <w:rsid w:val="0093329F"/>
    <w:rsid w:val="009332F0"/>
    <w:rsid w:val="00933361"/>
    <w:rsid w:val="00933560"/>
    <w:rsid w:val="0093392F"/>
    <w:rsid w:val="009340CF"/>
    <w:rsid w:val="009346D0"/>
    <w:rsid w:val="0093475B"/>
    <w:rsid w:val="0093475F"/>
    <w:rsid w:val="00934B84"/>
    <w:rsid w:val="00934E69"/>
    <w:rsid w:val="009351A7"/>
    <w:rsid w:val="00935DF4"/>
    <w:rsid w:val="00936636"/>
    <w:rsid w:val="00936F60"/>
    <w:rsid w:val="009372DD"/>
    <w:rsid w:val="0093763E"/>
    <w:rsid w:val="00937C9C"/>
    <w:rsid w:val="0094018E"/>
    <w:rsid w:val="009402C6"/>
    <w:rsid w:val="009404B0"/>
    <w:rsid w:val="009408AA"/>
    <w:rsid w:val="00940A22"/>
    <w:rsid w:val="00940FC6"/>
    <w:rsid w:val="0094116D"/>
    <w:rsid w:val="009416A1"/>
    <w:rsid w:val="0094195E"/>
    <w:rsid w:val="00941C55"/>
    <w:rsid w:val="00941EFD"/>
    <w:rsid w:val="00942056"/>
    <w:rsid w:val="009420CD"/>
    <w:rsid w:val="009424EE"/>
    <w:rsid w:val="009429B9"/>
    <w:rsid w:val="00943253"/>
    <w:rsid w:val="0094338D"/>
    <w:rsid w:val="0094398A"/>
    <w:rsid w:val="00943A96"/>
    <w:rsid w:val="00943B2B"/>
    <w:rsid w:val="00943BF3"/>
    <w:rsid w:val="00943E9F"/>
    <w:rsid w:val="009450AF"/>
    <w:rsid w:val="009458A5"/>
    <w:rsid w:val="00945942"/>
    <w:rsid w:val="009463CB"/>
    <w:rsid w:val="00946833"/>
    <w:rsid w:val="00947121"/>
    <w:rsid w:val="00947148"/>
    <w:rsid w:val="009472E3"/>
    <w:rsid w:val="0094778E"/>
    <w:rsid w:val="00947DDF"/>
    <w:rsid w:val="00947F26"/>
    <w:rsid w:val="00947F8A"/>
    <w:rsid w:val="0095077B"/>
    <w:rsid w:val="00950C02"/>
    <w:rsid w:val="00950E62"/>
    <w:rsid w:val="009518BD"/>
    <w:rsid w:val="0095231C"/>
    <w:rsid w:val="009528C9"/>
    <w:rsid w:val="00952ECA"/>
    <w:rsid w:val="00953022"/>
    <w:rsid w:val="009532C6"/>
    <w:rsid w:val="00953328"/>
    <w:rsid w:val="00953577"/>
    <w:rsid w:val="00953DCD"/>
    <w:rsid w:val="00953F6F"/>
    <w:rsid w:val="009545D5"/>
    <w:rsid w:val="00954E74"/>
    <w:rsid w:val="00954F8A"/>
    <w:rsid w:val="00955243"/>
    <w:rsid w:val="009556F8"/>
    <w:rsid w:val="009557BC"/>
    <w:rsid w:val="00955A22"/>
    <w:rsid w:val="00956754"/>
    <w:rsid w:val="00956CA9"/>
    <w:rsid w:val="00957020"/>
    <w:rsid w:val="0095767D"/>
    <w:rsid w:val="009578FB"/>
    <w:rsid w:val="00957962"/>
    <w:rsid w:val="00957A35"/>
    <w:rsid w:val="00957AAB"/>
    <w:rsid w:val="00960412"/>
    <w:rsid w:val="0096049E"/>
    <w:rsid w:val="009618CF"/>
    <w:rsid w:val="00961929"/>
    <w:rsid w:val="00961BFA"/>
    <w:rsid w:val="00961E7E"/>
    <w:rsid w:val="00962546"/>
    <w:rsid w:val="00962B1C"/>
    <w:rsid w:val="00962C9D"/>
    <w:rsid w:val="00962CDD"/>
    <w:rsid w:val="009633A8"/>
    <w:rsid w:val="00963586"/>
    <w:rsid w:val="009636CE"/>
    <w:rsid w:val="00963EFE"/>
    <w:rsid w:val="00964F7E"/>
    <w:rsid w:val="00964F91"/>
    <w:rsid w:val="009653BA"/>
    <w:rsid w:val="009655C2"/>
    <w:rsid w:val="009658E3"/>
    <w:rsid w:val="0096622C"/>
    <w:rsid w:val="009662F7"/>
    <w:rsid w:val="0096638F"/>
    <w:rsid w:val="00966889"/>
    <w:rsid w:val="00966CF2"/>
    <w:rsid w:val="00967191"/>
    <w:rsid w:val="009679F6"/>
    <w:rsid w:val="00967F07"/>
    <w:rsid w:val="00967F23"/>
    <w:rsid w:val="00967F69"/>
    <w:rsid w:val="00970479"/>
    <w:rsid w:val="00970C1F"/>
    <w:rsid w:val="00970C52"/>
    <w:rsid w:val="00970D15"/>
    <w:rsid w:val="00971261"/>
    <w:rsid w:val="00971D41"/>
    <w:rsid w:val="00971F31"/>
    <w:rsid w:val="00972238"/>
    <w:rsid w:val="009723D2"/>
    <w:rsid w:val="00972814"/>
    <w:rsid w:val="00972C8F"/>
    <w:rsid w:val="009730A7"/>
    <w:rsid w:val="0097387D"/>
    <w:rsid w:val="00973C81"/>
    <w:rsid w:val="00973DB9"/>
    <w:rsid w:val="0097426A"/>
    <w:rsid w:val="009745CD"/>
    <w:rsid w:val="00974739"/>
    <w:rsid w:val="00974B73"/>
    <w:rsid w:val="00974E0F"/>
    <w:rsid w:val="009750C8"/>
    <w:rsid w:val="009755C5"/>
    <w:rsid w:val="009758E3"/>
    <w:rsid w:val="009759EA"/>
    <w:rsid w:val="00975BF6"/>
    <w:rsid w:val="00976D56"/>
    <w:rsid w:val="00977086"/>
    <w:rsid w:val="009809D8"/>
    <w:rsid w:val="00980AA2"/>
    <w:rsid w:val="009814D8"/>
    <w:rsid w:val="0098161A"/>
    <w:rsid w:val="0098187D"/>
    <w:rsid w:val="00981A40"/>
    <w:rsid w:val="00982148"/>
    <w:rsid w:val="0098242B"/>
    <w:rsid w:val="009836F8"/>
    <w:rsid w:val="00983A03"/>
    <w:rsid w:val="00983E94"/>
    <w:rsid w:val="009843A3"/>
    <w:rsid w:val="0098464D"/>
    <w:rsid w:val="00984CB6"/>
    <w:rsid w:val="00984D71"/>
    <w:rsid w:val="00984FC9"/>
    <w:rsid w:val="0098541C"/>
    <w:rsid w:val="00985627"/>
    <w:rsid w:val="00985827"/>
    <w:rsid w:val="009858FF"/>
    <w:rsid w:val="009861E0"/>
    <w:rsid w:val="00986457"/>
    <w:rsid w:val="009866A6"/>
    <w:rsid w:val="00987484"/>
    <w:rsid w:val="00987706"/>
    <w:rsid w:val="00987EF4"/>
    <w:rsid w:val="00990095"/>
    <w:rsid w:val="009907A3"/>
    <w:rsid w:val="009908DA"/>
    <w:rsid w:val="0099114F"/>
    <w:rsid w:val="00991489"/>
    <w:rsid w:val="00991AE2"/>
    <w:rsid w:val="00992510"/>
    <w:rsid w:val="00992534"/>
    <w:rsid w:val="009929EE"/>
    <w:rsid w:val="009937D3"/>
    <w:rsid w:val="00994284"/>
    <w:rsid w:val="0099445C"/>
    <w:rsid w:val="00994851"/>
    <w:rsid w:val="009948A8"/>
    <w:rsid w:val="00994C56"/>
    <w:rsid w:val="00994CE6"/>
    <w:rsid w:val="00994DEE"/>
    <w:rsid w:val="0099542E"/>
    <w:rsid w:val="00995595"/>
    <w:rsid w:val="0099587B"/>
    <w:rsid w:val="00995DC3"/>
    <w:rsid w:val="0099643C"/>
    <w:rsid w:val="00996CA6"/>
    <w:rsid w:val="00996DB0"/>
    <w:rsid w:val="00997081"/>
    <w:rsid w:val="0099726B"/>
    <w:rsid w:val="009974C2"/>
    <w:rsid w:val="009975A1"/>
    <w:rsid w:val="00997624"/>
    <w:rsid w:val="0099786A"/>
    <w:rsid w:val="00997C7E"/>
    <w:rsid w:val="00997CE4"/>
    <w:rsid w:val="00997EDB"/>
    <w:rsid w:val="009A0B75"/>
    <w:rsid w:val="009A0D69"/>
    <w:rsid w:val="009A1832"/>
    <w:rsid w:val="009A1EFE"/>
    <w:rsid w:val="009A1F3F"/>
    <w:rsid w:val="009A2062"/>
    <w:rsid w:val="009A269E"/>
    <w:rsid w:val="009A4351"/>
    <w:rsid w:val="009A4A0F"/>
    <w:rsid w:val="009A4D29"/>
    <w:rsid w:val="009A522F"/>
    <w:rsid w:val="009A5986"/>
    <w:rsid w:val="009A5A85"/>
    <w:rsid w:val="009A606E"/>
    <w:rsid w:val="009A60B5"/>
    <w:rsid w:val="009A6B7B"/>
    <w:rsid w:val="009A77D2"/>
    <w:rsid w:val="009A77EF"/>
    <w:rsid w:val="009A7AE1"/>
    <w:rsid w:val="009A7D5B"/>
    <w:rsid w:val="009A7DBC"/>
    <w:rsid w:val="009B056B"/>
    <w:rsid w:val="009B0FD5"/>
    <w:rsid w:val="009B12D6"/>
    <w:rsid w:val="009B1521"/>
    <w:rsid w:val="009B1958"/>
    <w:rsid w:val="009B1E3C"/>
    <w:rsid w:val="009B2625"/>
    <w:rsid w:val="009B2644"/>
    <w:rsid w:val="009B26BA"/>
    <w:rsid w:val="009B2B14"/>
    <w:rsid w:val="009B36C8"/>
    <w:rsid w:val="009B3978"/>
    <w:rsid w:val="009B4088"/>
    <w:rsid w:val="009B48E9"/>
    <w:rsid w:val="009B49DF"/>
    <w:rsid w:val="009B4A23"/>
    <w:rsid w:val="009B4CE3"/>
    <w:rsid w:val="009B4D4C"/>
    <w:rsid w:val="009B59AF"/>
    <w:rsid w:val="009B6275"/>
    <w:rsid w:val="009B6763"/>
    <w:rsid w:val="009B6954"/>
    <w:rsid w:val="009B6E46"/>
    <w:rsid w:val="009B6F40"/>
    <w:rsid w:val="009B7CBB"/>
    <w:rsid w:val="009B7F81"/>
    <w:rsid w:val="009C0106"/>
    <w:rsid w:val="009C0D13"/>
    <w:rsid w:val="009C0F94"/>
    <w:rsid w:val="009C1060"/>
    <w:rsid w:val="009C11D3"/>
    <w:rsid w:val="009C1204"/>
    <w:rsid w:val="009C1427"/>
    <w:rsid w:val="009C2106"/>
    <w:rsid w:val="009C297D"/>
    <w:rsid w:val="009C2ACA"/>
    <w:rsid w:val="009C30CF"/>
    <w:rsid w:val="009C361B"/>
    <w:rsid w:val="009C38F9"/>
    <w:rsid w:val="009C39C8"/>
    <w:rsid w:val="009C3A4A"/>
    <w:rsid w:val="009C3E07"/>
    <w:rsid w:val="009C45A7"/>
    <w:rsid w:val="009C482F"/>
    <w:rsid w:val="009C4D5C"/>
    <w:rsid w:val="009C5672"/>
    <w:rsid w:val="009C59AE"/>
    <w:rsid w:val="009C628B"/>
    <w:rsid w:val="009C636C"/>
    <w:rsid w:val="009C673F"/>
    <w:rsid w:val="009C683B"/>
    <w:rsid w:val="009C711F"/>
    <w:rsid w:val="009C7687"/>
    <w:rsid w:val="009C79C2"/>
    <w:rsid w:val="009D030F"/>
    <w:rsid w:val="009D08CE"/>
    <w:rsid w:val="009D122D"/>
    <w:rsid w:val="009D131A"/>
    <w:rsid w:val="009D1AFC"/>
    <w:rsid w:val="009D2111"/>
    <w:rsid w:val="009D2275"/>
    <w:rsid w:val="009D2842"/>
    <w:rsid w:val="009D2A6F"/>
    <w:rsid w:val="009D2B4B"/>
    <w:rsid w:val="009D3794"/>
    <w:rsid w:val="009D3EC3"/>
    <w:rsid w:val="009D4065"/>
    <w:rsid w:val="009D457B"/>
    <w:rsid w:val="009D46A9"/>
    <w:rsid w:val="009D46AA"/>
    <w:rsid w:val="009D470B"/>
    <w:rsid w:val="009D489E"/>
    <w:rsid w:val="009D4991"/>
    <w:rsid w:val="009D4A48"/>
    <w:rsid w:val="009D4B84"/>
    <w:rsid w:val="009D4E41"/>
    <w:rsid w:val="009D5077"/>
    <w:rsid w:val="009D5103"/>
    <w:rsid w:val="009D526E"/>
    <w:rsid w:val="009D538F"/>
    <w:rsid w:val="009D5659"/>
    <w:rsid w:val="009D5849"/>
    <w:rsid w:val="009D58F8"/>
    <w:rsid w:val="009D59FD"/>
    <w:rsid w:val="009D657B"/>
    <w:rsid w:val="009D6861"/>
    <w:rsid w:val="009D6E82"/>
    <w:rsid w:val="009D6EF8"/>
    <w:rsid w:val="009D7767"/>
    <w:rsid w:val="009E0631"/>
    <w:rsid w:val="009E11EE"/>
    <w:rsid w:val="009E2191"/>
    <w:rsid w:val="009E2207"/>
    <w:rsid w:val="009E246B"/>
    <w:rsid w:val="009E2681"/>
    <w:rsid w:val="009E3387"/>
    <w:rsid w:val="009E33DE"/>
    <w:rsid w:val="009E3558"/>
    <w:rsid w:val="009E42DF"/>
    <w:rsid w:val="009E436E"/>
    <w:rsid w:val="009E47F8"/>
    <w:rsid w:val="009E48EA"/>
    <w:rsid w:val="009E4F76"/>
    <w:rsid w:val="009E5893"/>
    <w:rsid w:val="009E58F4"/>
    <w:rsid w:val="009E5B0F"/>
    <w:rsid w:val="009E5B5B"/>
    <w:rsid w:val="009E5E62"/>
    <w:rsid w:val="009E78AC"/>
    <w:rsid w:val="009E7B3F"/>
    <w:rsid w:val="009E7D7E"/>
    <w:rsid w:val="009F0D75"/>
    <w:rsid w:val="009F101F"/>
    <w:rsid w:val="009F138C"/>
    <w:rsid w:val="009F1E2A"/>
    <w:rsid w:val="009F24C9"/>
    <w:rsid w:val="009F2A83"/>
    <w:rsid w:val="009F3FA8"/>
    <w:rsid w:val="009F47AB"/>
    <w:rsid w:val="009F4875"/>
    <w:rsid w:val="009F4A76"/>
    <w:rsid w:val="009F5429"/>
    <w:rsid w:val="009F5D56"/>
    <w:rsid w:val="009F60FC"/>
    <w:rsid w:val="009F621D"/>
    <w:rsid w:val="009F6C1D"/>
    <w:rsid w:val="009F740B"/>
    <w:rsid w:val="009F7467"/>
    <w:rsid w:val="009F7C4F"/>
    <w:rsid w:val="00A004A9"/>
    <w:rsid w:val="00A00F95"/>
    <w:rsid w:val="00A019B8"/>
    <w:rsid w:val="00A01E0B"/>
    <w:rsid w:val="00A01EFE"/>
    <w:rsid w:val="00A02429"/>
    <w:rsid w:val="00A038B2"/>
    <w:rsid w:val="00A03DE8"/>
    <w:rsid w:val="00A03F8B"/>
    <w:rsid w:val="00A049D2"/>
    <w:rsid w:val="00A06344"/>
    <w:rsid w:val="00A06724"/>
    <w:rsid w:val="00A06AFB"/>
    <w:rsid w:val="00A06EC9"/>
    <w:rsid w:val="00A07287"/>
    <w:rsid w:val="00A072AC"/>
    <w:rsid w:val="00A07447"/>
    <w:rsid w:val="00A07497"/>
    <w:rsid w:val="00A108F0"/>
    <w:rsid w:val="00A11044"/>
    <w:rsid w:val="00A1134E"/>
    <w:rsid w:val="00A11B48"/>
    <w:rsid w:val="00A11D59"/>
    <w:rsid w:val="00A122D4"/>
    <w:rsid w:val="00A126B8"/>
    <w:rsid w:val="00A12E6E"/>
    <w:rsid w:val="00A12F7D"/>
    <w:rsid w:val="00A13460"/>
    <w:rsid w:val="00A1392A"/>
    <w:rsid w:val="00A143F8"/>
    <w:rsid w:val="00A14599"/>
    <w:rsid w:val="00A14688"/>
    <w:rsid w:val="00A14CD6"/>
    <w:rsid w:val="00A150ED"/>
    <w:rsid w:val="00A151CE"/>
    <w:rsid w:val="00A15729"/>
    <w:rsid w:val="00A15979"/>
    <w:rsid w:val="00A159ED"/>
    <w:rsid w:val="00A16439"/>
    <w:rsid w:val="00A16854"/>
    <w:rsid w:val="00A178C4"/>
    <w:rsid w:val="00A2024E"/>
    <w:rsid w:val="00A219F5"/>
    <w:rsid w:val="00A21E96"/>
    <w:rsid w:val="00A225A7"/>
    <w:rsid w:val="00A231C3"/>
    <w:rsid w:val="00A237BF"/>
    <w:rsid w:val="00A242B9"/>
    <w:rsid w:val="00A242DC"/>
    <w:rsid w:val="00A243B7"/>
    <w:rsid w:val="00A244FA"/>
    <w:rsid w:val="00A24596"/>
    <w:rsid w:val="00A246C3"/>
    <w:rsid w:val="00A246E8"/>
    <w:rsid w:val="00A24859"/>
    <w:rsid w:val="00A2545D"/>
    <w:rsid w:val="00A25EC4"/>
    <w:rsid w:val="00A26036"/>
    <w:rsid w:val="00A268A0"/>
    <w:rsid w:val="00A27682"/>
    <w:rsid w:val="00A27A26"/>
    <w:rsid w:val="00A305F6"/>
    <w:rsid w:val="00A3092A"/>
    <w:rsid w:val="00A30DFB"/>
    <w:rsid w:val="00A31339"/>
    <w:rsid w:val="00A31A78"/>
    <w:rsid w:val="00A31C41"/>
    <w:rsid w:val="00A32934"/>
    <w:rsid w:val="00A3293A"/>
    <w:rsid w:val="00A32C77"/>
    <w:rsid w:val="00A32F36"/>
    <w:rsid w:val="00A330CB"/>
    <w:rsid w:val="00A33350"/>
    <w:rsid w:val="00A3352C"/>
    <w:rsid w:val="00A336B6"/>
    <w:rsid w:val="00A33789"/>
    <w:rsid w:val="00A3410A"/>
    <w:rsid w:val="00A34493"/>
    <w:rsid w:val="00A34884"/>
    <w:rsid w:val="00A348F4"/>
    <w:rsid w:val="00A356FF"/>
    <w:rsid w:val="00A3587D"/>
    <w:rsid w:val="00A35C2D"/>
    <w:rsid w:val="00A37B60"/>
    <w:rsid w:val="00A409CE"/>
    <w:rsid w:val="00A40A5D"/>
    <w:rsid w:val="00A40DFF"/>
    <w:rsid w:val="00A4134F"/>
    <w:rsid w:val="00A4180D"/>
    <w:rsid w:val="00A41CD9"/>
    <w:rsid w:val="00A41CEA"/>
    <w:rsid w:val="00A41FB0"/>
    <w:rsid w:val="00A4248F"/>
    <w:rsid w:val="00A426D2"/>
    <w:rsid w:val="00A42813"/>
    <w:rsid w:val="00A4287C"/>
    <w:rsid w:val="00A42B65"/>
    <w:rsid w:val="00A431BF"/>
    <w:rsid w:val="00A431C4"/>
    <w:rsid w:val="00A433E0"/>
    <w:rsid w:val="00A43426"/>
    <w:rsid w:val="00A43875"/>
    <w:rsid w:val="00A43D98"/>
    <w:rsid w:val="00A44621"/>
    <w:rsid w:val="00A448E8"/>
    <w:rsid w:val="00A44CA1"/>
    <w:rsid w:val="00A44F97"/>
    <w:rsid w:val="00A45441"/>
    <w:rsid w:val="00A454B6"/>
    <w:rsid w:val="00A45F8D"/>
    <w:rsid w:val="00A46544"/>
    <w:rsid w:val="00A468A6"/>
    <w:rsid w:val="00A471A7"/>
    <w:rsid w:val="00A474F7"/>
    <w:rsid w:val="00A47A5B"/>
    <w:rsid w:val="00A5017F"/>
    <w:rsid w:val="00A50328"/>
    <w:rsid w:val="00A5062A"/>
    <w:rsid w:val="00A50725"/>
    <w:rsid w:val="00A508E9"/>
    <w:rsid w:val="00A50A9D"/>
    <w:rsid w:val="00A50C97"/>
    <w:rsid w:val="00A50EE4"/>
    <w:rsid w:val="00A51DDE"/>
    <w:rsid w:val="00A52687"/>
    <w:rsid w:val="00A52B21"/>
    <w:rsid w:val="00A52B44"/>
    <w:rsid w:val="00A53168"/>
    <w:rsid w:val="00A5388C"/>
    <w:rsid w:val="00A538DD"/>
    <w:rsid w:val="00A53A35"/>
    <w:rsid w:val="00A53A47"/>
    <w:rsid w:val="00A5426F"/>
    <w:rsid w:val="00A544AF"/>
    <w:rsid w:val="00A54769"/>
    <w:rsid w:val="00A549BE"/>
    <w:rsid w:val="00A549ED"/>
    <w:rsid w:val="00A54D53"/>
    <w:rsid w:val="00A554B2"/>
    <w:rsid w:val="00A55516"/>
    <w:rsid w:val="00A5583F"/>
    <w:rsid w:val="00A561E0"/>
    <w:rsid w:val="00A562E4"/>
    <w:rsid w:val="00A566C1"/>
    <w:rsid w:val="00A568A7"/>
    <w:rsid w:val="00A56B1C"/>
    <w:rsid w:val="00A57413"/>
    <w:rsid w:val="00A5772F"/>
    <w:rsid w:val="00A57A09"/>
    <w:rsid w:val="00A57B24"/>
    <w:rsid w:val="00A57B97"/>
    <w:rsid w:val="00A6020D"/>
    <w:rsid w:val="00A602FD"/>
    <w:rsid w:val="00A61454"/>
    <w:rsid w:val="00A614D2"/>
    <w:rsid w:val="00A61C17"/>
    <w:rsid w:val="00A62706"/>
    <w:rsid w:val="00A62999"/>
    <w:rsid w:val="00A63537"/>
    <w:rsid w:val="00A6375A"/>
    <w:rsid w:val="00A637D6"/>
    <w:rsid w:val="00A63B42"/>
    <w:rsid w:val="00A63CE7"/>
    <w:rsid w:val="00A6410C"/>
    <w:rsid w:val="00A643AB"/>
    <w:rsid w:val="00A6446B"/>
    <w:rsid w:val="00A64A96"/>
    <w:rsid w:val="00A64BEC"/>
    <w:rsid w:val="00A64F7E"/>
    <w:rsid w:val="00A65192"/>
    <w:rsid w:val="00A6562E"/>
    <w:rsid w:val="00A65710"/>
    <w:rsid w:val="00A65F46"/>
    <w:rsid w:val="00A66657"/>
    <w:rsid w:val="00A66D24"/>
    <w:rsid w:val="00A670B5"/>
    <w:rsid w:val="00A67841"/>
    <w:rsid w:val="00A6795F"/>
    <w:rsid w:val="00A67A18"/>
    <w:rsid w:val="00A70069"/>
    <w:rsid w:val="00A7029A"/>
    <w:rsid w:val="00A702F3"/>
    <w:rsid w:val="00A70B1B"/>
    <w:rsid w:val="00A70F41"/>
    <w:rsid w:val="00A71171"/>
    <w:rsid w:val="00A71219"/>
    <w:rsid w:val="00A713BF"/>
    <w:rsid w:val="00A71761"/>
    <w:rsid w:val="00A71AA1"/>
    <w:rsid w:val="00A71F14"/>
    <w:rsid w:val="00A71F1B"/>
    <w:rsid w:val="00A72414"/>
    <w:rsid w:val="00A7267A"/>
    <w:rsid w:val="00A72A41"/>
    <w:rsid w:val="00A72D85"/>
    <w:rsid w:val="00A72E9B"/>
    <w:rsid w:val="00A733AF"/>
    <w:rsid w:val="00A73486"/>
    <w:rsid w:val="00A738A6"/>
    <w:rsid w:val="00A73937"/>
    <w:rsid w:val="00A73BA1"/>
    <w:rsid w:val="00A73BE7"/>
    <w:rsid w:val="00A73DD3"/>
    <w:rsid w:val="00A74FD8"/>
    <w:rsid w:val="00A75147"/>
    <w:rsid w:val="00A75373"/>
    <w:rsid w:val="00A75392"/>
    <w:rsid w:val="00A75822"/>
    <w:rsid w:val="00A75A6D"/>
    <w:rsid w:val="00A761D9"/>
    <w:rsid w:val="00A767F2"/>
    <w:rsid w:val="00A76A56"/>
    <w:rsid w:val="00A76C76"/>
    <w:rsid w:val="00A77AA2"/>
    <w:rsid w:val="00A80214"/>
    <w:rsid w:val="00A80324"/>
    <w:rsid w:val="00A8043B"/>
    <w:rsid w:val="00A80696"/>
    <w:rsid w:val="00A80796"/>
    <w:rsid w:val="00A81257"/>
    <w:rsid w:val="00A8175D"/>
    <w:rsid w:val="00A81D3D"/>
    <w:rsid w:val="00A82163"/>
    <w:rsid w:val="00A824E0"/>
    <w:rsid w:val="00A82709"/>
    <w:rsid w:val="00A8282A"/>
    <w:rsid w:val="00A8292D"/>
    <w:rsid w:val="00A8298E"/>
    <w:rsid w:val="00A82DE7"/>
    <w:rsid w:val="00A82FEB"/>
    <w:rsid w:val="00A83DF5"/>
    <w:rsid w:val="00A84691"/>
    <w:rsid w:val="00A8470D"/>
    <w:rsid w:val="00A85433"/>
    <w:rsid w:val="00A85461"/>
    <w:rsid w:val="00A85CE5"/>
    <w:rsid w:val="00A85E38"/>
    <w:rsid w:val="00A86055"/>
    <w:rsid w:val="00A86DCE"/>
    <w:rsid w:val="00A87A98"/>
    <w:rsid w:val="00A90B3D"/>
    <w:rsid w:val="00A9105E"/>
    <w:rsid w:val="00A91A39"/>
    <w:rsid w:val="00A9240C"/>
    <w:rsid w:val="00A92560"/>
    <w:rsid w:val="00A929FF"/>
    <w:rsid w:val="00A930BB"/>
    <w:rsid w:val="00A93300"/>
    <w:rsid w:val="00A93922"/>
    <w:rsid w:val="00A93D77"/>
    <w:rsid w:val="00A93FC5"/>
    <w:rsid w:val="00A943E6"/>
    <w:rsid w:val="00A94466"/>
    <w:rsid w:val="00A94EC1"/>
    <w:rsid w:val="00A9563C"/>
    <w:rsid w:val="00A95749"/>
    <w:rsid w:val="00A9577B"/>
    <w:rsid w:val="00A95D1E"/>
    <w:rsid w:val="00A964CA"/>
    <w:rsid w:val="00A966BD"/>
    <w:rsid w:val="00A96932"/>
    <w:rsid w:val="00A96A46"/>
    <w:rsid w:val="00A96AEF"/>
    <w:rsid w:val="00A97C94"/>
    <w:rsid w:val="00AA1513"/>
    <w:rsid w:val="00AA16F8"/>
    <w:rsid w:val="00AA195E"/>
    <w:rsid w:val="00AA208F"/>
    <w:rsid w:val="00AA20F0"/>
    <w:rsid w:val="00AA2861"/>
    <w:rsid w:val="00AA2B4D"/>
    <w:rsid w:val="00AA323F"/>
    <w:rsid w:val="00AA330E"/>
    <w:rsid w:val="00AA4266"/>
    <w:rsid w:val="00AA44B3"/>
    <w:rsid w:val="00AA4630"/>
    <w:rsid w:val="00AA4F1F"/>
    <w:rsid w:val="00AA54B5"/>
    <w:rsid w:val="00AA60E4"/>
    <w:rsid w:val="00AA632D"/>
    <w:rsid w:val="00AA6C03"/>
    <w:rsid w:val="00AA7195"/>
    <w:rsid w:val="00AA73F8"/>
    <w:rsid w:val="00AA747D"/>
    <w:rsid w:val="00AA78C9"/>
    <w:rsid w:val="00AA7A7C"/>
    <w:rsid w:val="00AB0392"/>
    <w:rsid w:val="00AB03CA"/>
    <w:rsid w:val="00AB0DF0"/>
    <w:rsid w:val="00AB0F71"/>
    <w:rsid w:val="00AB1696"/>
    <w:rsid w:val="00AB1B9D"/>
    <w:rsid w:val="00AB1E37"/>
    <w:rsid w:val="00AB1FEA"/>
    <w:rsid w:val="00AB27A2"/>
    <w:rsid w:val="00AB307D"/>
    <w:rsid w:val="00AB31E6"/>
    <w:rsid w:val="00AB3382"/>
    <w:rsid w:val="00AB38C3"/>
    <w:rsid w:val="00AB3A71"/>
    <w:rsid w:val="00AB3CDB"/>
    <w:rsid w:val="00AB40BE"/>
    <w:rsid w:val="00AB448E"/>
    <w:rsid w:val="00AB468D"/>
    <w:rsid w:val="00AB4E0B"/>
    <w:rsid w:val="00AB5723"/>
    <w:rsid w:val="00AB6662"/>
    <w:rsid w:val="00AB683D"/>
    <w:rsid w:val="00AB7616"/>
    <w:rsid w:val="00AB7F0C"/>
    <w:rsid w:val="00AC0D2D"/>
    <w:rsid w:val="00AC0F31"/>
    <w:rsid w:val="00AC1400"/>
    <w:rsid w:val="00AC1E38"/>
    <w:rsid w:val="00AC1FD8"/>
    <w:rsid w:val="00AC2088"/>
    <w:rsid w:val="00AC2415"/>
    <w:rsid w:val="00AC2490"/>
    <w:rsid w:val="00AC2B23"/>
    <w:rsid w:val="00AC2CDA"/>
    <w:rsid w:val="00AC321D"/>
    <w:rsid w:val="00AC3685"/>
    <w:rsid w:val="00AC3A67"/>
    <w:rsid w:val="00AC3C6C"/>
    <w:rsid w:val="00AC3DB7"/>
    <w:rsid w:val="00AC40C8"/>
    <w:rsid w:val="00AC455D"/>
    <w:rsid w:val="00AC4956"/>
    <w:rsid w:val="00AC4B3E"/>
    <w:rsid w:val="00AC5365"/>
    <w:rsid w:val="00AC565C"/>
    <w:rsid w:val="00AC591B"/>
    <w:rsid w:val="00AC5CED"/>
    <w:rsid w:val="00AC62C4"/>
    <w:rsid w:val="00AC66D7"/>
    <w:rsid w:val="00AC6B3E"/>
    <w:rsid w:val="00AC70CE"/>
    <w:rsid w:val="00AC747A"/>
    <w:rsid w:val="00AC776D"/>
    <w:rsid w:val="00AC7888"/>
    <w:rsid w:val="00AD0B95"/>
    <w:rsid w:val="00AD0EE4"/>
    <w:rsid w:val="00AD130A"/>
    <w:rsid w:val="00AD1384"/>
    <w:rsid w:val="00AD1786"/>
    <w:rsid w:val="00AD203D"/>
    <w:rsid w:val="00AD26F1"/>
    <w:rsid w:val="00AD2799"/>
    <w:rsid w:val="00AD2A9E"/>
    <w:rsid w:val="00AD2F27"/>
    <w:rsid w:val="00AD3170"/>
    <w:rsid w:val="00AD324D"/>
    <w:rsid w:val="00AD33AE"/>
    <w:rsid w:val="00AD37AA"/>
    <w:rsid w:val="00AD3D3B"/>
    <w:rsid w:val="00AD4515"/>
    <w:rsid w:val="00AD45DD"/>
    <w:rsid w:val="00AD4653"/>
    <w:rsid w:val="00AD4A42"/>
    <w:rsid w:val="00AD4C63"/>
    <w:rsid w:val="00AD4E80"/>
    <w:rsid w:val="00AD4EA8"/>
    <w:rsid w:val="00AD5003"/>
    <w:rsid w:val="00AD5C76"/>
    <w:rsid w:val="00AD656C"/>
    <w:rsid w:val="00AD6E12"/>
    <w:rsid w:val="00AD6EA1"/>
    <w:rsid w:val="00AD6EEF"/>
    <w:rsid w:val="00AD7065"/>
    <w:rsid w:val="00AD70B5"/>
    <w:rsid w:val="00AD7AEB"/>
    <w:rsid w:val="00AE0134"/>
    <w:rsid w:val="00AE026B"/>
    <w:rsid w:val="00AE0D98"/>
    <w:rsid w:val="00AE0E28"/>
    <w:rsid w:val="00AE2052"/>
    <w:rsid w:val="00AE262F"/>
    <w:rsid w:val="00AE2D23"/>
    <w:rsid w:val="00AE2FD7"/>
    <w:rsid w:val="00AE333C"/>
    <w:rsid w:val="00AE382E"/>
    <w:rsid w:val="00AE3A8E"/>
    <w:rsid w:val="00AE3CC9"/>
    <w:rsid w:val="00AE4EEC"/>
    <w:rsid w:val="00AE50C1"/>
    <w:rsid w:val="00AE5270"/>
    <w:rsid w:val="00AE5275"/>
    <w:rsid w:val="00AE5A11"/>
    <w:rsid w:val="00AE5A28"/>
    <w:rsid w:val="00AE649D"/>
    <w:rsid w:val="00AE6627"/>
    <w:rsid w:val="00AE6722"/>
    <w:rsid w:val="00AE69FD"/>
    <w:rsid w:val="00AE6F73"/>
    <w:rsid w:val="00AE6FB4"/>
    <w:rsid w:val="00AE7557"/>
    <w:rsid w:val="00AF01A0"/>
    <w:rsid w:val="00AF0537"/>
    <w:rsid w:val="00AF054A"/>
    <w:rsid w:val="00AF08BF"/>
    <w:rsid w:val="00AF0BA4"/>
    <w:rsid w:val="00AF16AB"/>
    <w:rsid w:val="00AF18CB"/>
    <w:rsid w:val="00AF1C74"/>
    <w:rsid w:val="00AF1D44"/>
    <w:rsid w:val="00AF1E87"/>
    <w:rsid w:val="00AF2132"/>
    <w:rsid w:val="00AF22D9"/>
    <w:rsid w:val="00AF2EE1"/>
    <w:rsid w:val="00AF3026"/>
    <w:rsid w:val="00AF37F7"/>
    <w:rsid w:val="00AF4015"/>
    <w:rsid w:val="00AF4567"/>
    <w:rsid w:val="00AF487C"/>
    <w:rsid w:val="00AF512A"/>
    <w:rsid w:val="00AF5531"/>
    <w:rsid w:val="00AF579A"/>
    <w:rsid w:val="00AF6416"/>
    <w:rsid w:val="00AF6914"/>
    <w:rsid w:val="00AF6EE8"/>
    <w:rsid w:val="00AF7178"/>
    <w:rsid w:val="00AF7ADD"/>
    <w:rsid w:val="00B004EC"/>
    <w:rsid w:val="00B00514"/>
    <w:rsid w:val="00B00553"/>
    <w:rsid w:val="00B0072F"/>
    <w:rsid w:val="00B00FCC"/>
    <w:rsid w:val="00B014F8"/>
    <w:rsid w:val="00B01576"/>
    <w:rsid w:val="00B016E0"/>
    <w:rsid w:val="00B01ECE"/>
    <w:rsid w:val="00B028AC"/>
    <w:rsid w:val="00B02EB7"/>
    <w:rsid w:val="00B038DD"/>
    <w:rsid w:val="00B03C51"/>
    <w:rsid w:val="00B04243"/>
    <w:rsid w:val="00B04569"/>
    <w:rsid w:val="00B046DB"/>
    <w:rsid w:val="00B047C5"/>
    <w:rsid w:val="00B04A37"/>
    <w:rsid w:val="00B04D2B"/>
    <w:rsid w:val="00B04F3D"/>
    <w:rsid w:val="00B058F7"/>
    <w:rsid w:val="00B05A52"/>
    <w:rsid w:val="00B05B91"/>
    <w:rsid w:val="00B06580"/>
    <w:rsid w:val="00B06E62"/>
    <w:rsid w:val="00B075FA"/>
    <w:rsid w:val="00B07CD8"/>
    <w:rsid w:val="00B07F1F"/>
    <w:rsid w:val="00B101A1"/>
    <w:rsid w:val="00B105EF"/>
    <w:rsid w:val="00B10832"/>
    <w:rsid w:val="00B10F20"/>
    <w:rsid w:val="00B11417"/>
    <w:rsid w:val="00B114F6"/>
    <w:rsid w:val="00B115DA"/>
    <w:rsid w:val="00B11752"/>
    <w:rsid w:val="00B117E0"/>
    <w:rsid w:val="00B119A8"/>
    <w:rsid w:val="00B12667"/>
    <w:rsid w:val="00B129ED"/>
    <w:rsid w:val="00B12A16"/>
    <w:rsid w:val="00B132A2"/>
    <w:rsid w:val="00B137B3"/>
    <w:rsid w:val="00B13AF1"/>
    <w:rsid w:val="00B1428C"/>
    <w:rsid w:val="00B153A9"/>
    <w:rsid w:val="00B15434"/>
    <w:rsid w:val="00B15961"/>
    <w:rsid w:val="00B15A4E"/>
    <w:rsid w:val="00B15A73"/>
    <w:rsid w:val="00B15C17"/>
    <w:rsid w:val="00B15CFC"/>
    <w:rsid w:val="00B16285"/>
    <w:rsid w:val="00B1652C"/>
    <w:rsid w:val="00B16CCA"/>
    <w:rsid w:val="00B17405"/>
    <w:rsid w:val="00B17B8D"/>
    <w:rsid w:val="00B20426"/>
    <w:rsid w:val="00B218AB"/>
    <w:rsid w:val="00B21C56"/>
    <w:rsid w:val="00B21D80"/>
    <w:rsid w:val="00B223CE"/>
    <w:rsid w:val="00B22E27"/>
    <w:rsid w:val="00B238E2"/>
    <w:rsid w:val="00B24CB4"/>
    <w:rsid w:val="00B24F1F"/>
    <w:rsid w:val="00B25009"/>
    <w:rsid w:val="00B25470"/>
    <w:rsid w:val="00B2554B"/>
    <w:rsid w:val="00B2584A"/>
    <w:rsid w:val="00B26698"/>
    <w:rsid w:val="00B2670E"/>
    <w:rsid w:val="00B26738"/>
    <w:rsid w:val="00B275C4"/>
    <w:rsid w:val="00B27A98"/>
    <w:rsid w:val="00B27D72"/>
    <w:rsid w:val="00B302A3"/>
    <w:rsid w:val="00B307AF"/>
    <w:rsid w:val="00B30B93"/>
    <w:rsid w:val="00B310D4"/>
    <w:rsid w:val="00B310F6"/>
    <w:rsid w:val="00B3191C"/>
    <w:rsid w:val="00B31E5E"/>
    <w:rsid w:val="00B3200A"/>
    <w:rsid w:val="00B329DD"/>
    <w:rsid w:val="00B32BAC"/>
    <w:rsid w:val="00B33AC7"/>
    <w:rsid w:val="00B33D92"/>
    <w:rsid w:val="00B33F8F"/>
    <w:rsid w:val="00B33FAB"/>
    <w:rsid w:val="00B345E8"/>
    <w:rsid w:val="00B34E10"/>
    <w:rsid w:val="00B360DC"/>
    <w:rsid w:val="00B361D5"/>
    <w:rsid w:val="00B36C70"/>
    <w:rsid w:val="00B40373"/>
    <w:rsid w:val="00B40419"/>
    <w:rsid w:val="00B40795"/>
    <w:rsid w:val="00B4097C"/>
    <w:rsid w:val="00B40A3F"/>
    <w:rsid w:val="00B40B62"/>
    <w:rsid w:val="00B40CDD"/>
    <w:rsid w:val="00B40F3B"/>
    <w:rsid w:val="00B410D1"/>
    <w:rsid w:val="00B41165"/>
    <w:rsid w:val="00B411E1"/>
    <w:rsid w:val="00B41212"/>
    <w:rsid w:val="00B41440"/>
    <w:rsid w:val="00B42036"/>
    <w:rsid w:val="00B42195"/>
    <w:rsid w:val="00B4226C"/>
    <w:rsid w:val="00B42278"/>
    <w:rsid w:val="00B4275F"/>
    <w:rsid w:val="00B42878"/>
    <w:rsid w:val="00B43030"/>
    <w:rsid w:val="00B432C1"/>
    <w:rsid w:val="00B4332D"/>
    <w:rsid w:val="00B437C6"/>
    <w:rsid w:val="00B438CD"/>
    <w:rsid w:val="00B44090"/>
    <w:rsid w:val="00B458F5"/>
    <w:rsid w:val="00B460E7"/>
    <w:rsid w:val="00B46332"/>
    <w:rsid w:val="00B46D83"/>
    <w:rsid w:val="00B47341"/>
    <w:rsid w:val="00B478A8"/>
    <w:rsid w:val="00B501C9"/>
    <w:rsid w:val="00B50250"/>
    <w:rsid w:val="00B50C9B"/>
    <w:rsid w:val="00B511F5"/>
    <w:rsid w:val="00B516A3"/>
    <w:rsid w:val="00B51BB8"/>
    <w:rsid w:val="00B51C6F"/>
    <w:rsid w:val="00B51E9A"/>
    <w:rsid w:val="00B5212D"/>
    <w:rsid w:val="00B5220A"/>
    <w:rsid w:val="00B5220B"/>
    <w:rsid w:val="00B52980"/>
    <w:rsid w:val="00B52C0D"/>
    <w:rsid w:val="00B52F4E"/>
    <w:rsid w:val="00B54C1D"/>
    <w:rsid w:val="00B54F9F"/>
    <w:rsid w:val="00B55241"/>
    <w:rsid w:val="00B55C55"/>
    <w:rsid w:val="00B55F3D"/>
    <w:rsid w:val="00B56476"/>
    <w:rsid w:val="00B56DB1"/>
    <w:rsid w:val="00B60232"/>
    <w:rsid w:val="00B604E3"/>
    <w:rsid w:val="00B607E4"/>
    <w:rsid w:val="00B60A8D"/>
    <w:rsid w:val="00B6113B"/>
    <w:rsid w:val="00B611A1"/>
    <w:rsid w:val="00B61D4A"/>
    <w:rsid w:val="00B61EE9"/>
    <w:rsid w:val="00B61F2A"/>
    <w:rsid w:val="00B61F45"/>
    <w:rsid w:val="00B62184"/>
    <w:rsid w:val="00B62B24"/>
    <w:rsid w:val="00B62F9D"/>
    <w:rsid w:val="00B6308F"/>
    <w:rsid w:val="00B645CB"/>
    <w:rsid w:val="00B65109"/>
    <w:rsid w:val="00B652A0"/>
    <w:rsid w:val="00B652D4"/>
    <w:rsid w:val="00B65816"/>
    <w:rsid w:val="00B65980"/>
    <w:rsid w:val="00B65C2D"/>
    <w:rsid w:val="00B67345"/>
    <w:rsid w:val="00B700AA"/>
    <w:rsid w:val="00B703E1"/>
    <w:rsid w:val="00B7051B"/>
    <w:rsid w:val="00B7051D"/>
    <w:rsid w:val="00B70673"/>
    <w:rsid w:val="00B70A8B"/>
    <w:rsid w:val="00B717EC"/>
    <w:rsid w:val="00B71A43"/>
    <w:rsid w:val="00B72202"/>
    <w:rsid w:val="00B729B1"/>
    <w:rsid w:val="00B72A1D"/>
    <w:rsid w:val="00B735B2"/>
    <w:rsid w:val="00B739D5"/>
    <w:rsid w:val="00B744D4"/>
    <w:rsid w:val="00B74786"/>
    <w:rsid w:val="00B74AB9"/>
    <w:rsid w:val="00B755D5"/>
    <w:rsid w:val="00B75814"/>
    <w:rsid w:val="00B75ED4"/>
    <w:rsid w:val="00B7703F"/>
    <w:rsid w:val="00B77503"/>
    <w:rsid w:val="00B77A9B"/>
    <w:rsid w:val="00B77C42"/>
    <w:rsid w:val="00B77DA1"/>
    <w:rsid w:val="00B8008B"/>
    <w:rsid w:val="00B802DA"/>
    <w:rsid w:val="00B80423"/>
    <w:rsid w:val="00B80711"/>
    <w:rsid w:val="00B80ADE"/>
    <w:rsid w:val="00B80EAA"/>
    <w:rsid w:val="00B80F13"/>
    <w:rsid w:val="00B8159D"/>
    <w:rsid w:val="00B81740"/>
    <w:rsid w:val="00B8182B"/>
    <w:rsid w:val="00B81B0F"/>
    <w:rsid w:val="00B81F34"/>
    <w:rsid w:val="00B82B8E"/>
    <w:rsid w:val="00B82C42"/>
    <w:rsid w:val="00B82D4D"/>
    <w:rsid w:val="00B82DE0"/>
    <w:rsid w:val="00B83240"/>
    <w:rsid w:val="00B8356E"/>
    <w:rsid w:val="00B83E93"/>
    <w:rsid w:val="00B8468D"/>
    <w:rsid w:val="00B846A8"/>
    <w:rsid w:val="00B85773"/>
    <w:rsid w:val="00B85837"/>
    <w:rsid w:val="00B85C5B"/>
    <w:rsid w:val="00B86066"/>
    <w:rsid w:val="00B86118"/>
    <w:rsid w:val="00B8622E"/>
    <w:rsid w:val="00B86384"/>
    <w:rsid w:val="00B86452"/>
    <w:rsid w:val="00B86583"/>
    <w:rsid w:val="00B86C0D"/>
    <w:rsid w:val="00B86DB4"/>
    <w:rsid w:val="00B87856"/>
    <w:rsid w:val="00B879D8"/>
    <w:rsid w:val="00B879DF"/>
    <w:rsid w:val="00B87A7A"/>
    <w:rsid w:val="00B87BC9"/>
    <w:rsid w:val="00B90812"/>
    <w:rsid w:val="00B909FE"/>
    <w:rsid w:val="00B91555"/>
    <w:rsid w:val="00B92AFC"/>
    <w:rsid w:val="00B92B3C"/>
    <w:rsid w:val="00B941A6"/>
    <w:rsid w:val="00B945F1"/>
    <w:rsid w:val="00B95ECC"/>
    <w:rsid w:val="00B964D2"/>
    <w:rsid w:val="00B976A4"/>
    <w:rsid w:val="00BA047B"/>
    <w:rsid w:val="00BA0729"/>
    <w:rsid w:val="00BA0795"/>
    <w:rsid w:val="00BA0B32"/>
    <w:rsid w:val="00BA0CB5"/>
    <w:rsid w:val="00BA0E90"/>
    <w:rsid w:val="00BA1074"/>
    <w:rsid w:val="00BA15BA"/>
    <w:rsid w:val="00BA172F"/>
    <w:rsid w:val="00BA1B24"/>
    <w:rsid w:val="00BA1E1A"/>
    <w:rsid w:val="00BA20D1"/>
    <w:rsid w:val="00BA2408"/>
    <w:rsid w:val="00BA2669"/>
    <w:rsid w:val="00BA2C7F"/>
    <w:rsid w:val="00BA364D"/>
    <w:rsid w:val="00BA3AEA"/>
    <w:rsid w:val="00BA3D97"/>
    <w:rsid w:val="00BA40DC"/>
    <w:rsid w:val="00BA4569"/>
    <w:rsid w:val="00BA4E5F"/>
    <w:rsid w:val="00BA5527"/>
    <w:rsid w:val="00BA5580"/>
    <w:rsid w:val="00BA5B1A"/>
    <w:rsid w:val="00BA5EB3"/>
    <w:rsid w:val="00BA6469"/>
    <w:rsid w:val="00BA674A"/>
    <w:rsid w:val="00BA68D3"/>
    <w:rsid w:val="00BA6EF7"/>
    <w:rsid w:val="00BA6FD4"/>
    <w:rsid w:val="00BA73F2"/>
    <w:rsid w:val="00BA74DB"/>
    <w:rsid w:val="00BA772E"/>
    <w:rsid w:val="00BA79AB"/>
    <w:rsid w:val="00BA7DCC"/>
    <w:rsid w:val="00BA7E7B"/>
    <w:rsid w:val="00BA7F4A"/>
    <w:rsid w:val="00BB0133"/>
    <w:rsid w:val="00BB0AD0"/>
    <w:rsid w:val="00BB12C4"/>
    <w:rsid w:val="00BB25A2"/>
    <w:rsid w:val="00BB2C4F"/>
    <w:rsid w:val="00BB2EE3"/>
    <w:rsid w:val="00BB34C4"/>
    <w:rsid w:val="00BB4071"/>
    <w:rsid w:val="00BB4175"/>
    <w:rsid w:val="00BB4662"/>
    <w:rsid w:val="00BB4CD2"/>
    <w:rsid w:val="00BB5511"/>
    <w:rsid w:val="00BB59E1"/>
    <w:rsid w:val="00BB5A46"/>
    <w:rsid w:val="00BB5C1A"/>
    <w:rsid w:val="00BB6B76"/>
    <w:rsid w:val="00BB7330"/>
    <w:rsid w:val="00BC04A2"/>
    <w:rsid w:val="00BC06AA"/>
    <w:rsid w:val="00BC077E"/>
    <w:rsid w:val="00BC0B3A"/>
    <w:rsid w:val="00BC1890"/>
    <w:rsid w:val="00BC1A07"/>
    <w:rsid w:val="00BC2304"/>
    <w:rsid w:val="00BC29A6"/>
    <w:rsid w:val="00BC39E2"/>
    <w:rsid w:val="00BC3C9A"/>
    <w:rsid w:val="00BC3D05"/>
    <w:rsid w:val="00BC3DF2"/>
    <w:rsid w:val="00BC4B5F"/>
    <w:rsid w:val="00BC4D9F"/>
    <w:rsid w:val="00BC4E80"/>
    <w:rsid w:val="00BC52DB"/>
    <w:rsid w:val="00BC534D"/>
    <w:rsid w:val="00BC5415"/>
    <w:rsid w:val="00BC5F8A"/>
    <w:rsid w:val="00BC6017"/>
    <w:rsid w:val="00BC6947"/>
    <w:rsid w:val="00BC6DD5"/>
    <w:rsid w:val="00BC7003"/>
    <w:rsid w:val="00BC725F"/>
    <w:rsid w:val="00BC7839"/>
    <w:rsid w:val="00BC7DB1"/>
    <w:rsid w:val="00BD03EA"/>
    <w:rsid w:val="00BD066E"/>
    <w:rsid w:val="00BD0A9B"/>
    <w:rsid w:val="00BD1253"/>
    <w:rsid w:val="00BD1E70"/>
    <w:rsid w:val="00BD1EE5"/>
    <w:rsid w:val="00BD1FC2"/>
    <w:rsid w:val="00BD21D3"/>
    <w:rsid w:val="00BD258F"/>
    <w:rsid w:val="00BD25C4"/>
    <w:rsid w:val="00BD2CD7"/>
    <w:rsid w:val="00BD35C9"/>
    <w:rsid w:val="00BD36A8"/>
    <w:rsid w:val="00BD3B4A"/>
    <w:rsid w:val="00BD3BB7"/>
    <w:rsid w:val="00BD3D37"/>
    <w:rsid w:val="00BD3D90"/>
    <w:rsid w:val="00BD411D"/>
    <w:rsid w:val="00BD4236"/>
    <w:rsid w:val="00BD4377"/>
    <w:rsid w:val="00BD489E"/>
    <w:rsid w:val="00BD4BCA"/>
    <w:rsid w:val="00BD52C2"/>
    <w:rsid w:val="00BD5332"/>
    <w:rsid w:val="00BD54BB"/>
    <w:rsid w:val="00BD597F"/>
    <w:rsid w:val="00BD5C98"/>
    <w:rsid w:val="00BD628D"/>
    <w:rsid w:val="00BD643B"/>
    <w:rsid w:val="00BD67F3"/>
    <w:rsid w:val="00BD6881"/>
    <w:rsid w:val="00BD77F5"/>
    <w:rsid w:val="00BD7D8B"/>
    <w:rsid w:val="00BE019C"/>
    <w:rsid w:val="00BE0607"/>
    <w:rsid w:val="00BE0DDD"/>
    <w:rsid w:val="00BE0ED8"/>
    <w:rsid w:val="00BE18B3"/>
    <w:rsid w:val="00BE1986"/>
    <w:rsid w:val="00BE29DD"/>
    <w:rsid w:val="00BE2EA1"/>
    <w:rsid w:val="00BE3120"/>
    <w:rsid w:val="00BE32A5"/>
    <w:rsid w:val="00BE365B"/>
    <w:rsid w:val="00BE3D6D"/>
    <w:rsid w:val="00BE3E5C"/>
    <w:rsid w:val="00BE3F90"/>
    <w:rsid w:val="00BE488B"/>
    <w:rsid w:val="00BE48F0"/>
    <w:rsid w:val="00BE4B28"/>
    <w:rsid w:val="00BE4D0E"/>
    <w:rsid w:val="00BE4F0A"/>
    <w:rsid w:val="00BE531C"/>
    <w:rsid w:val="00BE5A7B"/>
    <w:rsid w:val="00BE5AF5"/>
    <w:rsid w:val="00BE6AA6"/>
    <w:rsid w:val="00BE6FDE"/>
    <w:rsid w:val="00BF0003"/>
    <w:rsid w:val="00BF0666"/>
    <w:rsid w:val="00BF0A26"/>
    <w:rsid w:val="00BF0AFB"/>
    <w:rsid w:val="00BF22ED"/>
    <w:rsid w:val="00BF31AF"/>
    <w:rsid w:val="00BF36B8"/>
    <w:rsid w:val="00BF3BBC"/>
    <w:rsid w:val="00BF3D9E"/>
    <w:rsid w:val="00BF3F5F"/>
    <w:rsid w:val="00BF3F72"/>
    <w:rsid w:val="00BF44B8"/>
    <w:rsid w:val="00BF49AB"/>
    <w:rsid w:val="00BF4AB0"/>
    <w:rsid w:val="00BF4B90"/>
    <w:rsid w:val="00BF53B4"/>
    <w:rsid w:val="00BF542D"/>
    <w:rsid w:val="00BF5996"/>
    <w:rsid w:val="00BF5AD6"/>
    <w:rsid w:val="00BF617D"/>
    <w:rsid w:val="00BF63D1"/>
    <w:rsid w:val="00BF646D"/>
    <w:rsid w:val="00BF65AB"/>
    <w:rsid w:val="00BF6774"/>
    <w:rsid w:val="00BF6962"/>
    <w:rsid w:val="00BF6B8A"/>
    <w:rsid w:val="00BF6C58"/>
    <w:rsid w:val="00BF6C83"/>
    <w:rsid w:val="00BF72CE"/>
    <w:rsid w:val="00C00909"/>
    <w:rsid w:val="00C00CF9"/>
    <w:rsid w:val="00C01152"/>
    <w:rsid w:val="00C0211C"/>
    <w:rsid w:val="00C02A3A"/>
    <w:rsid w:val="00C02A85"/>
    <w:rsid w:val="00C02EAE"/>
    <w:rsid w:val="00C03376"/>
    <w:rsid w:val="00C03B2E"/>
    <w:rsid w:val="00C042D0"/>
    <w:rsid w:val="00C044C9"/>
    <w:rsid w:val="00C053EA"/>
    <w:rsid w:val="00C05730"/>
    <w:rsid w:val="00C06529"/>
    <w:rsid w:val="00C07130"/>
    <w:rsid w:val="00C07318"/>
    <w:rsid w:val="00C0742A"/>
    <w:rsid w:val="00C07623"/>
    <w:rsid w:val="00C07685"/>
    <w:rsid w:val="00C07713"/>
    <w:rsid w:val="00C0775B"/>
    <w:rsid w:val="00C07C02"/>
    <w:rsid w:val="00C10185"/>
    <w:rsid w:val="00C107EE"/>
    <w:rsid w:val="00C10C36"/>
    <w:rsid w:val="00C10C9F"/>
    <w:rsid w:val="00C10F31"/>
    <w:rsid w:val="00C11699"/>
    <w:rsid w:val="00C11B86"/>
    <w:rsid w:val="00C12339"/>
    <w:rsid w:val="00C125FF"/>
    <w:rsid w:val="00C128BB"/>
    <w:rsid w:val="00C13009"/>
    <w:rsid w:val="00C1319F"/>
    <w:rsid w:val="00C131AD"/>
    <w:rsid w:val="00C13324"/>
    <w:rsid w:val="00C13D93"/>
    <w:rsid w:val="00C13FC8"/>
    <w:rsid w:val="00C140B9"/>
    <w:rsid w:val="00C140E9"/>
    <w:rsid w:val="00C142F9"/>
    <w:rsid w:val="00C1477A"/>
    <w:rsid w:val="00C151A0"/>
    <w:rsid w:val="00C15591"/>
    <w:rsid w:val="00C156B9"/>
    <w:rsid w:val="00C15A69"/>
    <w:rsid w:val="00C15BCE"/>
    <w:rsid w:val="00C15CC9"/>
    <w:rsid w:val="00C15D2B"/>
    <w:rsid w:val="00C163CE"/>
    <w:rsid w:val="00C1650D"/>
    <w:rsid w:val="00C1685E"/>
    <w:rsid w:val="00C16AD1"/>
    <w:rsid w:val="00C16DC3"/>
    <w:rsid w:val="00C171C6"/>
    <w:rsid w:val="00C1728E"/>
    <w:rsid w:val="00C200C9"/>
    <w:rsid w:val="00C202D9"/>
    <w:rsid w:val="00C208B5"/>
    <w:rsid w:val="00C2151A"/>
    <w:rsid w:val="00C21987"/>
    <w:rsid w:val="00C23291"/>
    <w:rsid w:val="00C2331E"/>
    <w:rsid w:val="00C237CF"/>
    <w:rsid w:val="00C23F72"/>
    <w:rsid w:val="00C24C10"/>
    <w:rsid w:val="00C24D8E"/>
    <w:rsid w:val="00C24E5B"/>
    <w:rsid w:val="00C250A9"/>
    <w:rsid w:val="00C2556A"/>
    <w:rsid w:val="00C25F66"/>
    <w:rsid w:val="00C26144"/>
    <w:rsid w:val="00C269A6"/>
    <w:rsid w:val="00C27402"/>
    <w:rsid w:val="00C278A9"/>
    <w:rsid w:val="00C27BE4"/>
    <w:rsid w:val="00C30099"/>
    <w:rsid w:val="00C30ABE"/>
    <w:rsid w:val="00C30D10"/>
    <w:rsid w:val="00C315D7"/>
    <w:rsid w:val="00C3216C"/>
    <w:rsid w:val="00C3233A"/>
    <w:rsid w:val="00C323E5"/>
    <w:rsid w:val="00C32639"/>
    <w:rsid w:val="00C32894"/>
    <w:rsid w:val="00C328E5"/>
    <w:rsid w:val="00C32A53"/>
    <w:rsid w:val="00C32CE5"/>
    <w:rsid w:val="00C3302C"/>
    <w:rsid w:val="00C3331C"/>
    <w:rsid w:val="00C339FD"/>
    <w:rsid w:val="00C34125"/>
    <w:rsid w:val="00C3449B"/>
    <w:rsid w:val="00C34F75"/>
    <w:rsid w:val="00C358A8"/>
    <w:rsid w:val="00C35931"/>
    <w:rsid w:val="00C361AF"/>
    <w:rsid w:val="00C36505"/>
    <w:rsid w:val="00C3692E"/>
    <w:rsid w:val="00C369C2"/>
    <w:rsid w:val="00C377E7"/>
    <w:rsid w:val="00C377F2"/>
    <w:rsid w:val="00C37866"/>
    <w:rsid w:val="00C4024F"/>
    <w:rsid w:val="00C40B6F"/>
    <w:rsid w:val="00C410BC"/>
    <w:rsid w:val="00C412BA"/>
    <w:rsid w:val="00C41A33"/>
    <w:rsid w:val="00C41D74"/>
    <w:rsid w:val="00C42705"/>
    <w:rsid w:val="00C42A0A"/>
    <w:rsid w:val="00C42AE7"/>
    <w:rsid w:val="00C43501"/>
    <w:rsid w:val="00C43530"/>
    <w:rsid w:val="00C4367F"/>
    <w:rsid w:val="00C43F34"/>
    <w:rsid w:val="00C4465E"/>
    <w:rsid w:val="00C44857"/>
    <w:rsid w:val="00C44B27"/>
    <w:rsid w:val="00C44DBE"/>
    <w:rsid w:val="00C4504A"/>
    <w:rsid w:val="00C45C3E"/>
    <w:rsid w:val="00C46236"/>
    <w:rsid w:val="00C463DC"/>
    <w:rsid w:val="00C4739B"/>
    <w:rsid w:val="00C4766A"/>
    <w:rsid w:val="00C47A2B"/>
    <w:rsid w:val="00C506ED"/>
    <w:rsid w:val="00C50757"/>
    <w:rsid w:val="00C5092E"/>
    <w:rsid w:val="00C50D43"/>
    <w:rsid w:val="00C50E9F"/>
    <w:rsid w:val="00C5129E"/>
    <w:rsid w:val="00C51992"/>
    <w:rsid w:val="00C51BE6"/>
    <w:rsid w:val="00C51DC9"/>
    <w:rsid w:val="00C5224D"/>
    <w:rsid w:val="00C529A7"/>
    <w:rsid w:val="00C54310"/>
    <w:rsid w:val="00C54C97"/>
    <w:rsid w:val="00C54E02"/>
    <w:rsid w:val="00C5506F"/>
    <w:rsid w:val="00C55A03"/>
    <w:rsid w:val="00C55DF7"/>
    <w:rsid w:val="00C55E03"/>
    <w:rsid w:val="00C561A7"/>
    <w:rsid w:val="00C56333"/>
    <w:rsid w:val="00C56894"/>
    <w:rsid w:val="00C56ADB"/>
    <w:rsid w:val="00C56CD7"/>
    <w:rsid w:val="00C56D40"/>
    <w:rsid w:val="00C575E3"/>
    <w:rsid w:val="00C57AAB"/>
    <w:rsid w:val="00C57ADF"/>
    <w:rsid w:val="00C57D91"/>
    <w:rsid w:val="00C57E0B"/>
    <w:rsid w:val="00C607F7"/>
    <w:rsid w:val="00C60832"/>
    <w:rsid w:val="00C6108C"/>
    <w:rsid w:val="00C61CA1"/>
    <w:rsid w:val="00C62A49"/>
    <w:rsid w:val="00C62B3D"/>
    <w:rsid w:val="00C62DA6"/>
    <w:rsid w:val="00C62F6B"/>
    <w:rsid w:val="00C63757"/>
    <w:rsid w:val="00C63A81"/>
    <w:rsid w:val="00C63F29"/>
    <w:rsid w:val="00C64070"/>
    <w:rsid w:val="00C64BDD"/>
    <w:rsid w:val="00C64C18"/>
    <w:rsid w:val="00C64C78"/>
    <w:rsid w:val="00C66102"/>
    <w:rsid w:val="00C66DDD"/>
    <w:rsid w:val="00C66F88"/>
    <w:rsid w:val="00C670F9"/>
    <w:rsid w:val="00C67704"/>
    <w:rsid w:val="00C67905"/>
    <w:rsid w:val="00C67ECF"/>
    <w:rsid w:val="00C710CA"/>
    <w:rsid w:val="00C7141F"/>
    <w:rsid w:val="00C7144C"/>
    <w:rsid w:val="00C716C7"/>
    <w:rsid w:val="00C71E68"/>
    <w:rsid w:val="00C724A6"/>
    <w:rsid w:val="00C73F42"/>
    <w:rsid w:val="00C7434D"/>
    <w:rsid w:val="00C744B9"/>
    <w:rsid w:val="00C74697"/>
    <w:rsid w:val="00C74AAB"/>
    <w:rsid w:val="00C75370"/>
    <w:rsid w:val="00C754A6"/>
    <w:rsid w:val="00C754D0"/>
    <w:rsid w:val="00C759BE"/>
    <w:rsid w:val="00C75A2A"/>
    <w:rsid w:val="00C75A81"/>
    <w:rsid w:val="00C75B75"/>
    <w:rsid w:val="00C75F42"/>
    <w:rsid w:val="00C7644D"/>
    <w:rsid w:val="00C769A4"/>
    <w:rsid w:val="00C76CE1"/>
    <w:rsid w:val="00C7735F"/>
    <w:rsid w:val="00C778FB"/>
    <w:rsid w:val="00C801BF"/>
    <w:rsid w:val="00C808F7"/>
    <w:rsid w:val="00C8097E"/>
    <w:rsid w:val="00C80ACD"/>
    <w:rsid w:val="00C812C3"/>
    <w:rsid w:val="00C818C2"/>
    <w:rsid w:val="00C8191F"/>
    <w:rsid w:val="00C81947"/>
    <w:rsid w:val="00C81F22"/>
    <w:rsid w:val="00C826A8"/>
    <w:rsid w:val="00C827B2"/>
    <w:rsid w:val="00C831AA"/>
    <w:rsid w:val="00C8399D"/>
    <w:rsid w:val="00C84162"/>
    <w:rsid w:val="00C84FE1"/>
    <w:rsid w:val="00C8523B"/>
    <w:rsid w:val="00C8549E"/>
    <w:rsid w:val="00C8602D"/>
    <w:rsid w:val="00C8613B"/>
    <w:rsid w:val="00C866A0"/>
    <w:rsid w:val="00C86EF5"/>
    <w:rsid w:val="00C87118"/>
    <w:rsid w:val="00C87206"/>
    <w:rsid w:val="00C87532"/>
    <w:rsid w:val="00C876C6"/>
    <w:rsid w:val="00C87DFE"/>
    <w:rsid w:val="00C90525"/>
    <w:rsid w:val="00C9098D"/>
    <w:rsid w:val="00C90A80"/>
    <w:rsid w:val="00C91081"/>
    <w:rsid w:val="00C910C1"/>
    <w:rsid w:val="00C91E9B"/>
    <w:rsid w:val="00C92225"/>
    <w:rsid w:val="00C9252C"/>
    <w:rsid w:val="00C93313"/>
    <w:rsid w:val="00C93CA8"/>
    <w:rsid w:val="00C94150"/>
    <w:rsid w:val="00C941C9"/>
    <w:rsid w:val="00C94AE1"/>
    <w:rsid w:val="00C94BF0"/>
    <w:rsid w:val="00C9551E"/>
    <w:rsid w:val="00C97045"/>
    <w:rsid w:val="00C97267"/>
    <w:rsid w:val="00C97BC0"/>
    <w:rsid w:val="00C97D93"/>
    <w:rsid w:val="00CA05BA"/>
    <w:rsid w:val="00CA08A6"/>
    <w:rsid w:val="00CA0BA5"/>
    <w:rsid w:val="00CA1A8F"/>
    <w:rsid w:val="00CA1C79"/>
    <w:rsid w:val="00CA1DBF"/>
    <w:rsid w:val="00CA1F1A"/>
    <w:rsid w:val="00CA22FF"/>
    <w:rsid w:val="00CA23DF"/>
    <w:rsid w:val="00CA24C5"/>
    <w:rsid w:val="00CA27F7"/>
    <w:rsid w:val="00CA2C5C"/>
    <w:rsid w:val="00CA38C2"/>
    <w:rsid w:val="00CA4564"/>
    <w:rsid w:val="00CA49F7"/>
    <w:rsid w:val="00CA5110"/>
    <w:rsid w:val="00CA5412"/>
    <w:rsid w:val="00CA59C8"/>
    <w:rsid w:val="00CA5C9F"/>
    <w:rsid w:val="00CA5D22"/>
    <w:rsid w:val="00CA671D"/>
    <w:rsid w:val="00CA6FDC"/>
    <w:rsid w:val="00CA71E0"/>
    <w:rsid w:val="00CA7333"/>
    <w:rsid w:val="00CA74CB"/>
    <w:rsid w:val="00CA7556"/>
    <w:rsid w:val="00CA7C7D"/>
    <w:rsid w:val="00CB0028"/>
    <w:rsid w:val="00CB0089"/>
    <w:rsid w:val="00CB0421"/>
    <w:rsid w:val="00CB05A4"/>
    <w:rsid w:val="00CB0F03"/>
    <w:rsid w:val="00CB34E0"/>
    <w:rsid w:val="00CB45BE"/>
    <w:rsid w:val="00CB497C"/>
    <w:rsid w:val="00CB4D99"/>
    <w:rsid w:val="00CB4EFB"/>
    <w:rsid w:val="00CB4F51"/>
    <w:rsid w:val="00CB507E"/>
    <w:rsid w:val="00CB53B7"/>
    <w:rsid w:val="00CB53E4"/>
    <w:rsid w:val="00CB5A33"/>
    <w:rsid w:val="00CB5D0A"/>
    <w:rsid w:val="00CB6361"/>
    <w:rsid w:val="00CB66D1"/>
    <w:rsid w:val="00CB6BC2"/>
    <w:rsid w:val="00CB6CF2"/>
    <w:rsid w:val="00CB6F4E"/>
    <w:rsid w:val="00CB728A"/>
    <w:rsid w:val="00CB7303"/>
    <w:rsid w:val="00CB7879"/>
    <w:rsid w:val="00CB7ECE"/>
    <w:rsid w:val="00CB7F6D"/>
    <w:rsid w:val="00CC0AB8"/>
    <w:rsid w:val="00CC11AD"/>
    <w:rsid w:val="00CC12AD"/>
    <w:rsid w:val="00CC1707"/>
    <w:rsid w:val="00CC232B"/>
    <w:rsid w:val="00CC26BB"/>
    <w:rsid w:val="00CC2C33"/>
    <w:rsid w:val="00CC2E7F"/>
    <w:rsid w:val="00CC2FC8"/>
    <w:rsid w:val="00CC3137"/>
    <w:rsid w:val="00CC3481"/>
    <w:rsid w:val="00CC3B2C"/>
    <w:rsid w:val="00CC3D1E"/>
    <w:rsid w:val="00CC4402"/>
    <w:rsid w:val="00CC4995"/>
    <w:rsid w:val="00CC4DA6"/>
    <w:rsid w:val="00CC5184"/>
    <w:rsid w:val="00CC57D3"/>
    <w:rsid w:val="00CC5C0B"/>
    <w:rsid w:val="00CC5DF4"/>
    <w:rsid w:val="00CC5FA2"/>
    <w:rsid w:val="00CC60A8"/>
    <w:rsid w:val="00CC6B1C"/>
    <w:rsid w:val="00CC6B70"/>
    <w:rsid w:val="00CC7338"/>
    <w:rsid w:val="00CC7EEC"/>
    <w:rsid w:val="00CD00EF"/>
    <w:rsid w:val="00CD06F7"/>
    <w:rsid w:val="00CD078D"/>
    <w:rsid w:val="00CD0A25"/>
    <w:rsid w:val="00CD1371"/>
    <w:rsid w:val="00CD1C41"/>
    <w:rsid w:val="00CD2253"/>
    <w:rsid w:val="00CD2376"/>
    <w:rsid w:val="00CD23EE"/>
    <w:rsid w:val="00CD244D"/>
    <w:rsid w:val="00CD2515"/>
    <w:rsid w:val="00CD2D50"/>
    <w:rsid w:val="00CD39D2"/>
    <w:rsid w:val="00CD39F6"/>
    <w:rsid w:val="00CD3B12"/>
    <w:rsid w:val="00CD3D68"/>
    <w:rsid w:val="00CD401D"/>
    <w:rsid w:val="00CD40DA"/>
    <w:rsid w:val="00CD474A"/>
    <w:rsid w:val="00CD5405"/>
    <w:rsid w:val="00CD59A9"/>
    <w:rsid w:val="00CD61FF"/>
    <w:rsid w:val="00CD67E5"/>
    <w:rsid w:val="00CD6A8C"/>
    <w:rsid w:val="00CD6B04"/>
    <w:rsid w:val="00CD6EDD"/>
    <w:rsid w:val="00CD6FAB"/>
    <w:rsid w:val="00CD79F1"/>
    <w:rsid w:val="00CD7EEF"/>
    <w:rsid w:val="00CD7FB6"/>
    <w:rsid w:val="00CE11DA"/>
    <w:rsid w:val="00CE11E4"/>
    <w:rsid w:val="00CE1A11"/>
    <w:rsid w:val="00CE1A1F"/>
    <w:rsid w:val="00CE1CD5"/>
    <w:rsid w:val="00CE1EA6"/>
    <w:rsid w:val="00CE27D0"/>
    <w:rsid w:val="00CE37E1"/>
    <w:rsid w:val="00CE3909"/>
    <w:rsid w:val="00CE47D0"/>
    <w:rsid w:val="00CE4887"/>
    <w:rsid w:val="00CE576C"/>
    <w:rsid w:val="00CE5C22"/>
    <w:rsid w:val="00CE66E2"/>
    <w:rsid w:val="00CE6E9A"/>
    <w:rsid w:val="00CE6F38"/>
    <w:rsid w:val="00CE75FF"/>
    <w:rsid w:val="00CE7627"/>
    <w:rsid w:val="00CE7B85"/>
    <w:rsid w:val="00CF098C"/>
    <w:rsid w:val="00CF1790"/>
    <w:rsid w:val="00CF332A"/>
    <w:rsid w:val="00CF34CB"/>
    <w:rsid w:val="00CF34F4"/>
    <w:rsid w:val="00CF378C"/>
    <w:rsid w:val="00CF4B68"/>
    <w:rsid w:val="00CF516C"/>
    <w:rsid w:val="00CF53F1"/>
    <w:rsid w:val="00CF5526"/>
    <w:rsid w:val="00CF7099"/>
    <w:rsid w:val="00CF7215"/>
    <w:rsid w:val="00CF75D4"/>
    <w:rsid w:val="00CF7604"/>
    <w:rsid w:val="00CF7825"/>
    <w:rsid w:val="00CF7EC2"/>
    <w:rsid w:val="00D0032D"/>
    <w:rsid w:val="00D00D70"/>
    <w:rsid w:val="00D01028"/>
    <w:rsid w:val="00D01055"/>
    <w:rsid w:val="00D01DD0"/>
    <w:rsid w:val="00D01ECB"/>
    <w:rsid w:val="00D021D4"/>
    <w:rsid w:val="00D0270C"/>
    <w:rsid w:val="00D0287B"/>
    <w:rsid w:val="00D028DE"/>
    <w:rsid w:val="00D029D9"/>
    <w:rsid w:val="00D0316C"/>
    <w:rsid w:val="00D03232"/>
    <w:rsid w:val="00D03CD5"/>
    <w:rsid w:val="00D03D64"/>
    <w:rsid w:val="00D03E43"/>
    <w:rsid w:val="00D03F63"/>
    <w:rsid w:val="00D04240"/>
    <w:rsid w:val="00D045DB"/>
    <w:rsid w:val="00D05AF2"/>
    <w:rsid w:val="00D06331"/>
    <w:rsid w:val="00D064E3"/>
    <w:rsid w:val="00D076C2"/>
    <w:rsid w:val="00D07764"/>
    <w:rsid w:val="00D07AB0"/>
    <w:rsid w:val="00D07DDA"/>
    <w:rsid w:val="00D100BD"/>
    <w:rsid w:val="00D10261"/>
    <w:rsid w:val="00D1060A"/>
    <w:rsid w:val="00D109F3"/>
    <w:rsid w:val="00D11665"/>
    <w:rsid w:val="00D11CB5"/>
    <w:rsid w:val="00D11CE1"/>
    <w:rsid w:val="00D131DC"/>
    <w:rsid w:val="00D1366B"/>
    <w:rsid w:val="00D13B2D"/>
    <w:rsid w:val="00D14058"/>
    <w:rsid w:val="00D14525"/>
    <w:rsid w:val="00D14654"/>
    <w:rsid w:val="00D14CC3"/>
    <w:rsid w:val="00D14FF8"/>
    <w:rsid w:val="00D153BA"/>
    <w:rsid w:val="00D157CA"/>
    <w:rsid w:val="00D15EA1"/>
    <w:rsid w:val="00D161D7"/>
    <w:rsid w:val="00D16376"/>
    <w:rsid w:val="00D16BEF"/>
    <w:rsid w:val="00D1706E"/>
    <w:rsid w:val="00D17181"/>
    <w:rsid w:val="00D172CF"/>
    <w:rsid w:val="00D1748C"/>
    <w:rsid w:val="00D17533"/>
    <w:rsid w:val="00D17C37"/>
    <w:rsid w:val="00D17C90"/>
    <w:rsid w:val="00D17EAA"/>
    <w:rsid w:val="00D20711"/>
    <w:rsid w:val="00D216A8"/>
    <w:rsid w:val="00D21E06"/>
    <w:rsid w:val="00D21ECF"/>
    <w:rsid w:val="00D2220C"/>
    <w:rsid w:val="00D2238E"/>
    <w:rsid w:val="00D224FF"/>
    <w:rsid w:val="00D226FA"/>
    <w:rsid w:val="00D2287E"/>
    <w:rsid w:val="00D2305C"/>
    <w:rsid w:val="00D239B1"/>
    <w:rsid w:val="00D23DF5"/>
    <w:rsid w:val="00D247E1"/>
    <w:rsid w:val="00D2507A"/>
    <w:rsid w:val="00D254AF"/>
    <w:rsid w:val="00D2634C"/>
    <w:rsid w:val="00D26A39"/>
    <w:rsid w:val="00D26B35"/>
    <w:rsid w:val="00D277A8"/>
    <w:rsid w:val="00D27962"/>
    <w:rsid w:val="00D30A4C"/>
    <w:rsid w:val="00D30E45"/>
    <w:rsid w:val="00D31181"/>
    <w:rsid w:val="00D31249"/>
    <w:rsid w:val="00D3166D"/>
    <w:rsid w:val="00D3188C"/>
    <w:rsid w:val="00D319B9"/>
    <w:rsid w:val="00D323FB"/>
    <w:rsid w:val="00D32B4D"/>
    <w:rsid w:val="00D33324"/>
    <w:rsid w:val="00D34EC9"/>
    <w:rsid w:val="00D34FD4"/>
    <w:rsid w:val="00D3505C"/>
    <w:rsid w:val="00D350CB"/>
    <w:rsid w:val="00D3533B"/>
    <w:rsid w:val="00D35EF0"/>
    <w:rsid w:val="00D35F58"/>
    <w:rsid w:val="00D36324"/>
    <w:rsid w:val="00D368DC"/>
    <w:rsid w:val="00D36904"/>
    <w:rsid w:val="00D37101"/>
    <w:rsid w:val="00D371BE"/>
    <w:rsid w:val="00D372A8"/>
    <w:rsid w:val="00D373EC"/>
    <w:rsid w:val="00D3775D"/>
    <w:rsid w:val="00D377A7"/>
    <w:rsid w:val="00D379B8"/>
    <w:rsid w:val="00D37DD8"/>
    <w:rsid w:val="00D37DDA"/>
    <w:rsid w:val="00D40036"/>
    <w:rsid w:val="00D4008B"/>
    <w:rsid w:val="00D4050E"/>
    <w:rsid w:val="00D418D1"/>
    <w:rsid w:val="00D41BB2"/>
    <w:rsid w:val="00D4206E"/>
    <w:rsid w:val="00D42A35"/>
    <w:rsid w:val="00D4324A"/>
    <w:rsid w:val="00D43C2E"/>
    <w:rsid w:val="00D4449F"/>
    <w:rsid w:val="00D449E1"/>
    <w:rsid w:val="00D44BB4"/>
    <w:rsid w:val="00D450E7"/>
    <w:rsid w:val="00D452E0"/>
    <w:rsid w:val="00D4545D"/>
    <w:rsid w:val="00D45C7C"/>
    <w:rsid w:val="00D45EFF"/>
    <w:rsid w:val="00D46A3C"/>
    <w:rsid w:val="00D47B6F"/>
    <w:rsid w:val="00D47B7E"/>
    <w:rsid w:val="00D50983"/>
    <w:rsid w:val="00D517A0"/>
    <w:rsid w:val="00D5185F"/>
    <w:rsid w:val="00D51D12"/>
    <w:rsid w:val="00D521D8"/>
    <w:rsid w:val="00D522CC"/>
    <w:rsid w:val="00D52AA0"/>
    <w:rsid w:val="00D52FD2"/>
    <w:rsid w:val="00D532E3"/>
    <w:rsid w:val="00D5345D"/>
    <w:rsid w:val="00D53BB6"/>
    <w:rsid w:val="00D53EDE"/>
    <w:rsid w:val="00D559A1"/>
    <w:rsid w:val="00D55C60"/>
    <w:rsid w:val="00D55F5B"/>
    <w:rsid w:val="00D5602C"/>
    <w:rsid w:val="00D56CD7"/>
    <w:rsid w:val="00D570D0"/>
    <w:rsid w:val="00D57645"/>
    <w:rsid w:val="00D578F9"/>
    <w:rsid w:val="00D57A61"/>
    <w:rsid w:val="00D606A2"/>
    <w:rsid w:val="00D61145"/>
    <w:rsid w:val="00D615FF"/>
    <w:rsid w:val="00D61E03"/>
    <w:rsid w:val="00D6203E"/>
    <w:rsid w:val="00D62139"/>
    <w:rsid w:val="00D630FC"/>
    <w:rsid w:val="00D632FC"/>
    <w:rsid w:val="00D64733"/>
    <w:rsid w:val="00D649DB"/>
    <w:rsid w:val="00D64A5E"/>
    <w:rsid w:val="00D64C22"/>
    <w:rsid w:val="00D6517A"/>
    <w:rsid w:val="00D6527D"/>
    <w:rsid w:val="00D6544A"/>
    <w:rsid w:val="00D65808"/>
    <w:rsid w:val="00D658E0"/>
    <w:rsid w:val="00D6655E"/>
    <w:rsid w:val="00D6675A"/>
    <w:rsid w:val="00D66948"/>
    <w:rsid w:val="00D66ABF"/>
    <w:rsid w:val="00D6753B"/>
    <w:rsid w:val="00D677E6"/>
    <w:rsid w:val="00D67BC6"/>
    <w:rsid w:val="00D70184"/>
    <w:rsid w:val="00D7112D"/>
    <w:rsid w:val="00D713CF"/>
    <w:rsid w:val="00D715D4"/>
    <w:rsid w:val="00D718C0"/>
    <w:rsid w:val="00D71952"/>
    <w:rsid w:val="00D71B7B"/>
    <w:rsid w:val="00D72111"/>
    <w:rsid w:val="00D726B4"/>
    <w:rsid w:val="00D73448"/>
    <w:rsid w:val="00D735A4"/>
    <w:rsid w:val="00D73631"/>
    <w:rsid w:val="00D73A17"/>
    <w:rsid w:val="00D73A30"/>
    <w:rsid w:val="00D73EFE"/>
    <w:rsid w:val="00D748B2"/>
    <w:rsid w:val="00D74BD1"/>
    <w:rsid w:val="00D752D5"/>
    <w:rsid w:val="00D756E2"/>
    <w:rsid w:val="00D759BA"/>
    <w:rsid w:val="00D75AF9"/>
    <w:rsid w:val="00D75F0B"/>
    <w:rsid w:val="00D75F87"/>
    <w:rsid w:val="00D764CB"/>
    <w:rsid w:val="00D765DC"/>
    <w:rsid w:val="00D7676E"/>
    <w:rsid w:val="00D76EF4"/>
    <w:rsid w:val="00D77272"/>
    <w:rsid w:val="00D779E8"/>
    <w:rsid w:val="00D77AFE"/>
    <w:rsid w:val="00D77E86"/>
    <w:rsid w:val="00D801BB"/>
    <w:rsid w:val="00D801C2"/>
    <w:rsid w:val="00D8026D"/>
    <w:rsid w:val="00D80784"/>
    <w:rsid w:val="00D80DDB"/>
    <w:rsid w:val="00D80E92"/>
    <w:rsid w:val="00D814EA"/>
    <w:rsid w:val="00D81867"/>
    <w:rsid w:val="00D81B1F"/>
    <w:rsid w:val="00D81C9A"/>
    <w:rsid w:val="00D82869"/>
    <w:rsid w:val="00D82E89"/>
    <w:rsid w:val="00D83392"/>
    <w:rsid w:val="00D8501C"/>
    <w:rsid w:val="00D85379"/>
    <w:rsid w:val="00D866FA"/>
    <w:rsid w:val="00D86CFA"/>
    <w:rsid w:val="00D87D06"/>
    <w:rsid w:val="00D9021D"/>
    <w:rsid w:val="00D9049A"/>
    <w:rsid w:val="00D908D1"/>
    <w:rsid w:val="00D90A16"/>
    <w:rsid w:val="00D91176"/>
    <w:rsid w:val="00D911C7"/>
    <w:rsid w:val="00D9129A"/>
    <w:rsid w:val="00D91E30"/>
    <w:rsid w:val="00D91E61"/>
    <w:rsid w:val="00D92602"/>
    <w:rsid w:val="00D93067"/>
    <w:rsid w:val="00D9319D"/>
    <w:rsid w:val="00D941FE"/>
    <w:rsid w:val="00D95F8B"/>
    <w:rsid w:val="00D9688E"/>
    <w:rsid w:val="00D96D3A"/>
    <w:rsid w:val="00D971EF"/>
    <w:rsid w:val="00D97DB5"/>
    <w:rsid w:val="00D97DD1"/>
    <w:rsid w:val="00D97F12"/>
    <w:rsid w:val="00DA00ED"/>
    <w:rsid w:val="00DA0760"/>
    <w:rsid w:val="00DA0AAB"/>
    <w:rsid w:val="00DA0BB5"/>
    <w:rsid w:val="00DA0BF1"/>
    <w:rsid w:val="00DA0BFE"/>
    <w:rsid w:val="00DA1A07"/>
    <w:rsid w:val="00DA1AA5"/>
    <w:rsid w:val="00DA263A"/>
    <w:rsid w:val="00DA2753"/>
    <w:rsid w:val="00DA296C"/>
    <w:rsid w:val="00DA2B8B"/>
    <w:rsid w:val="00DA2FF9"/>
    <w:rsid w:val="00DA3069"/>
    <w:rsid w:val="00DA33B1"/>
    <w:rsid w:val="00DA37C5"/>
    <w:rsid w:val="00DA38F2"/>
    <w:rsid w:val="00DA41CD"/>
    <w:rsid w:val="00DA51E2"/>
    <w:rsid w:val="00DA54F1"/>
    <w:rsid w:val="00DA55CA"/>
    <w:rsid w:val="00DA585B"/>
    <w:rsid w:val="00DA6027"/>
    <w:rsid w:val="00DA6071"/>
    <w:rsid w:val="00DA76FA"/>
    <w:rsid w:val="00DA7BF0"/>
    <w:rsid w:val="00DB0490"/>
    <w:rsid w:val="00DB077B"/>
    <w:rsid w:val="00DB09E4"/>
    <w:rsid w:val="00DB0BC6"/>
    <w:rsid w:val="00DB0DEF"/>
    <w:rsid w:val="00DB0E6F"/>
    <w:rsid w:val="00DB16EC"/>
    <w:rsid w:val="00DB17E2"/>
    <w:rsid w:val="00DB214F"/>
    <w:rsid w:val="00DB23C8"/>
    <w:rsid w:val="00DB2531"/>
    <w:rsid w:val="00DB29A8"/>
    <w:rsid w:val="00DB2A57"/>
    <w:rsid w:val="00DB2C46"/>
    <w:rsid w:val="00DB30EB"/>
    <w:rsid w:val="00DB373F"/>
    <w:rsid w:val="00DB3B93"/>
    <w:rsid w:val="00DB42FB"/>
    <w:rsid w:val="00DB433C"/>
    <w:rsid w:val="00DB47C1"/>
    <w:rsid w:val="00DB489B"/>
    <w:rsid w:val="00DB48A5"/>
    <w:rsid w:val="00DB4E09"/>
    <w:rsid w:val="00DB53FB"/>
    <w:rsid w:val="00DB55A4"/>
    <w:rsid w:val="00DB5EDE"/>
    <w:rsid w:val="00DB62BF"/>
    <w:rsid w:val="00DB650F"/>
    <w:rsid w:val="00DB6BF8"/>
    <w:rsid w:val="00DB6C04"/>
    <w:rsid w:val="00DB7E90"/>
    <w:rsid w:val="00DC01A6"/>
    <w:rsid w:val="00DC06E1"/>
    <w:rsid w:val="00DC077D"/>
    <w:rsid w:val="00DC0D47"/>
    <w:rsid w:val="00DC1872"/>
    <w:rsid w:val="00DC28B3"/>
    <w:rsid w:val="00DC2ADF"/>
    <w:rsid w:val="00DC2B11"/>
    <w:rsid w:val="00DC2D93"/>
    <w:rsid w:val="00DC32B4"/>
    <w:rsid w:val="00DC3599"/>
    <w:rsid w:val="00DC49AB"/>
    <w:rsid w:val="00DC4CF1"/>
    <w:rsid w:val="00DC4F19"/>
    <w:rsid w:val="00DC50E5"/>
    <w:rsid w:val="00DC53A1"/>
    <w:rsid w:val="00DC568A"/>
    <w:rsid w:val="00DC573A"/>
    <w:rsid w:val="00DC58CE"/>
    <w:rsid w:val="00DC653B"/>
    <w:rsid w:val="00DC6B04"/>
    <w:rsid w:val="00DC70D1"/>
    <w:rsid w:val="00DC7154"/>
    <w:rsid w:val="00DC7D6A"/>
    <w:rsid w:val="00DD017A"/>
    <w:rsid w:val="00DD0475"/>
    <w:rsid w:val="00DD06EE"/>
    <w:rsid w:val="00DD0922"/>
    <w:rsid w:val="00DD0C04"/>
    <w:rsid w:val="00DD1834"/>
    <w:rsid w:val="00DD1CBA"/>
    <w:rsid w:val="00DD1F11"/>
    <w:rsid w:val="00DD1F5B"/>
    <w:rsid w:val="00DD2F69"/>
    <w:rsid w:val="00DD32BF"/>
    <w:rsid w:val="00DD3C08"/>
    <w:rsid w:val="00DD3E0A"/>
    <w:rsid w:val="00DD4128"/>
    <w:rsid w:val="00DD4195"/>
    <w:rsid w:val="00DD42B5"/>
    <w:rsid w:val="00DD5911"/>
    <w:rsid w:val="00DD5950"/>
    <w:rsid w:val="00DD5A3B"/>
    <w:rsid w:val="00DD5A52"/>
    <w:rsid w:val="00DD5B69"/>
    <w:rsid w:val="00DD6D5F"/>
    <w:rsid w:val="00DD6DB7"/>
    <w:rsid w:val="00DD7B06"/>
    <w:rsid w:val="00DE014F"/>
    <w:rsid w:val="00DE03D1"/>
    <w:rsid w:val="00DE08CE"/>
    <w:rsid w:val="00DE0931"/>
    <w:rsid w:val="00DE0BA8"/>
    <w:rsid w:val="00DE0CB4"/>
    <w:rsid w:val="00DE114A"/>
    <w:rsid w:val="00DE16BB"/>
    <w:rsid w:val="00DE1CAB"/>
    <w:rsid w:val="00DE1F06"/>
    <w:rsid w:val="00DE2062"/>
    <w:rsid w:val="00DE241C"/>
    <w:rsid w:val="00DE26D0"/>
    <w:rsid w:val="00DE2A39"/>
    <w:rsid w:val="00DE2CC4"/>
    <w:rsid w:val="00DE3DF4"/>
    <w:rsid w:val="00DE478B"/>
    <w:rsid w:val="00DE4894"/>
    <w:rsid w:val="00DE4926"/>
    <w:rsid w:val="00DE59AC"/>
    <w:rsid w:val="00DE5B56"/>
    <w:rsid w:val="00DE635D"/>
    <w:rsid w:val="00DE6742"/>
    <w:rsid w:val="00DE6E3B"/>
    <w:rsid w:val="00DE6EF3"/>
    <w:rsid w:val="00DE73D2"/>
    <w:rsid w:val="00DE7B0F"/>
    <w:rsid w:val="00DE7B1F"/>
    <w:rsid w:val="00DE7E08"/>
    <w:rsid w:val="00DF01C5"/>
    <w:rsid w:val="00DF0A18"/>
    <w:rsid w:val="00DF0CAB"/>
    <w:rsid w:val="00DF15E3"/>
    <w:rsid w:val="00DF16D5"/>
    <w:rsid w:val="00DF1D4F"/>
    <w:rsid w:val="00DF204D"/>
    <w:rsid w:val="00DF2159"/>
    <w:rsid w:val="00DF22EB"/>
    <w:rsid w:val="00DF24D8"/>
    <w:rsid w:val="00DF2BC8"/>
    <w:rsid w:val="00DF2C90"/>
    <w:rsid w:val="00DF318A"/>
    <w:rsid w:val="00DF33C1"/>
    <w:rsid w:val="00DF3789"/>
    <w:rsid w:val="00DF3E7E"/>
    <w:rsid w:val="00DF43B7"/>
    <w:rsid w:val="00DF49B0"/>
    <w:rsid w:val="00DF5710"/>
    <w:rsid w:val="00DF601D"/>
    <w:rsid w:val="00DF6665"/>
    <w:rsid w:val="00DF670D"/>
    <w:rsid w:val="00DF7880"/>
    <w:rsid w:val="00DF7942"/>
    <w:rsid w:val="00DF7EA7"/>
    <w:rsid w:val="00E003AA"/>
    <w:rsid w:val="00E006A6"/>
    <w:rsid w:val="00E00FF5"/>
    <w:rsid w:val="00E0114F"/>
    <w:rsid w:val="00E013D9"/>
    <w:rsid w:val="00E027C2"/>
    <w:rsid w:val="00E027FF"/>
    <w:rsid w:val="00E028C5"/>
    <w:rsid w:val="00E02B26"/>
    <w:rsid w:val="00E02F9B"/>
    <w:rsid w:val="00E039C8"/>
    <w:rsid w:val="00E03A6E"/>
    <w:rsid w:val="00E04AA4"/>
    <w:rsid w:val="00E04BDD"/>
    <w:rsid w:val="00E05745"/>
    <w:rsid w:val="00E05CC5"/>
    <w:rsid w:val="00E05DB9"/>
    <w:rsid w:val="00E067EE"/>
    <w:rsid w:val="00E06F48"/>
    <w:rsid w:val="00E0711D"/>
    <w:rsid w:val="00E07181"/>
    <w:rsid w:val="00E07356"/>
    <w:rsid w:val="00E10887"/>
    <w:rsid w:val="00E10C4A"/>
    <w:rsid w:val="00E1100A"/>
    <w:rsid w:val="00E11E89"/>
    <w:rsid w:val="00E11E9A"/>
    <w:rsid w:val="00E122FB"/>
    <w:rsid w:val="00E12491"/>
    <w:rsid w:val="00E1258F"/>
    <w:rsid w:val="00E12A5B"/>
    <w:rsid w:val="00E13D1D"/>
    <w:rsid w:val="00E14EE6"/>
    <w:rsid w:val="00E156A5"/>
    <w:rsid w:val="00E16663"/>
    <w:rsid w:val="00E17838"/>
    <w:rsid w:val="00E17D19"/>
    <w:rsid w:val="00E20143"/>
    <w:rsid w:val="00E20855"/>
    <w:rsid w:val="00E20B67"/>
    <w:rsid w:val="00E20D23"/>
    <w:rsid w:val="00E20FC6"/>
    <w:rsid w:val="00E21E14"/>
    <w:rsid w:val="00E21F18"/>
    <w:rsid w:val="00E21FC0"/>
    <w:rsid w:val="00E23209"/>
    <w:rsid w:val="00E235DA"/>
    <w:rsid w:val="00E23E99"/>
    <w:rsid w:val="00E2401D"/>
    <w:rsid w:val="00E241A1"/>
    <w:rsid w:val="00E24200"/>
    <w:rsid w:val="00E246E5"/>
    <w:rsid w:val="00E247A6"/>
    <w:rsid w:val="00E24D1A"/>
    <w:rsid w:val="00E24DBB"/>
    <w:rsid w:val="00E25036"/>
    <w:rsid w:val="00E2516C"/>
    <w:rsid w:val="00E25368"/>
    <w:rsid w:val="00E255CF"/>
    <w:rsid w:val="00E256B7"/>
    <w:rsid w:val="00E266BD"/>
    <w:rsid w:val="00E27696"/>
    <w:rsid w:val="00E27EB7"/>
    <w:rsid w:val="00E303A2"/>
    <w:rsid w:val="00E30631"/>
    <w:rsid w:val="00E31BD5"/>
    <w:rsid w:val="00E31D9B"/>
    <w:rsid w:val="00E320AE"/>
    <w:rsid w:val="00E3215A"/>
    <w:rsid w:val="00E32B2E"/>
    <w:rsid w:val="00E32C1A"/>
    <w:rsid w:val="00E3332E"/>
    <w:rsid w:val="00E33460"/>
    <w:rsid w:val="00E33800"/>
    <w:rsid w:val="00E3409E"/>
    <w:rsid w:val="00E346B2"/>
    <w:rsid w:val="00E346BC"/>
    <w:rsid w:val="00E348A8"/>
    <w:rsid w:val="00E349DD"/>
    <w:rsid w:val="00E34E8B"/>
    <w:rsid w:val="00E3500B"/>
    <w:rsid w:val="00E353E0"/>
    <w:rsid w:val="00E35B22"/>
    <w:rsid w:val="00E35CAE"/>
    <w:rsid w:val="00E3620B"/>
    <w:rsid w:val="00E36894"/>
    <w:rsid w:val="00E3696C"/>
    <w:rsid w:val="00E36D7D"/>
    <w:rsid w:val="00E36E10"/>
    <w:rsid w:val="00E37349"/>
    <w:rsid w:val="00E37A75"/>
    <w:rsid w:val="00E4077E"/>
    <w:rsid w:val="00E407F6"/>
    <w:rsid w:val="00E410BD"/>
    <w:rsid w:val="00E4172F"/>
    <w:rsid w:val="00E4174D"/>
    <w:rsid w:val="00E41BB8"/>
    <w:rsid w:val="00E41F69"/>
    <w:rsid w:val="00E41FF9"/>
    <w:rsid w:val="00E42C35"/>
    <w:rsid w:val="00E4367D"/>
    <w:rsid w:val="00E43B9E"/>
    <w:rsid w:val="00E43CE7"/>
    <w:rsid w:val="00E441CD"/>
    <w:rsid w:val="00E445DA"/>
    <w:rsid w:val="00E4477B"/>
    <w:rsid w:val="00E44BD7"/>
    <w:rsid w:val="00E44EC5"/>
    <w:rsid w:val="00E450F5"/>
    <w:rsid w:val="00E45701"/>
    <w:rsid w:val="00E45D5F"/>
    <w:rsid w:val="00E45F0F"/>
    <w:rsid w:val="00E45F16"/>
    <w:rsid w:val="00E45F4B"/>
    <w:rsid w:val="00E45F8F"/>
    <w:rsid w:val="00E46B14"/>
    <w:rsid w:val="00E474D2"/>
    <w:rsid w:val="00E47724"/>
    <w:rsid w:val="00E514FC"/>
    <w:rsid w:val="00E51974"/>
    <w:rsid w:val="00E52C2A"/>
    <w:rsid w:val="00E55917"/>
    <w:rsid w:val="00E55BD9"/>
    <w:rsid w:val="00E55C07"/>
    <w:rsid w:val="00E560BA"/>
    <w:rsid w:val="00E5613E"/>
    <w:rsid w:val="00E561EF"/>
    <w:rsid w:val="00E568B7"/>
    <w:rsid w:val="00E56C63"/>
    <w:rsid w:val="00E56CEB"/>
    <w:rsid w:val="00E579B7"/>
    <w:rsid w:val="00E57C3A"/>
    <w:rsid w:val="00E600FA"/>
    <w:rsid w:val="00E60513"/>
    <w:rsid w:val="00E60575"/>
    <w:rsid w:val="00E6091D"/>
    <w:rsid w:val="00E60BF9"/>
    <w:rsid w:val="00E60E9B"/>
    <w:rsid w:val="00E61513"/>
    <w:rsid w:val="00E616BE"/>
    <w:rsid w:val="00E61C3A"/>
    <w:rsid w:val="00E6234E"/>
    <w:rsid w:val="00E62823"/>
    <w:rsid w:val="00E62D8C"/>
    <w:rsid w:val="00E62F2A"/>
    <w:rsid w:val="00E63362"/>
    <w:rsid w:val="00E63A04"/>
    <w:rsid w:val="00E641CF"/>
    <w:rsid w:val="00E64B7C"/>
    <w:rsid w:val="00E652CF"/>
    <w:rsid w:val="00E65552"/>
    <w:rsid w:val="00E66426"/>
    <w:rsid w:val="00E67845"/>
    <w:rsid w:val="00E67AAF"/>
    <w:rsid w:val="00E67BA6"/>
    <w:rsid w:val="00E67FCF"/>
    <w:rsid w:val="00E70996"/>
    <w:rsid w:val="00E70B1C"/>
    <w:rsid w:val="00E7132D"/>
    <w:rsid w:val="00E7156F"/>
    <w:rsid w:val="00E71A65"/>
    <w:rsid w:val="00E71B99"/>
    <w:rsid w:val="00E71D63"/>
    <w:rsid w:val="00E71F9D"/>
    <w:rsid w:val="00E72429"/>
    <w:rsid w:val="00E72A53"/>
    <w:rsid w:val="00E72D7C"/>
    <w:rsid w:val="00E732A8"/>
    <w:rsid w:val="00E73715"/>
    <w:rsid w:val="00E73E80"/>
    <w:rsid w:val="00E73EDE"/>
    <w:rsid w:val="00E73F53"/>
    <w:rsid w:val="00E75643"/>
    <w:rsid w:val="00E75A34"/>
    <w:rsid w:val="00E76351"/>
    <w:rsid w:val="00E76405"/>
    <w:rsid w:val="00E766FC"/>
    <w:rsid w:val="00E76CC1"/>
    <w:rsid w:val="00E76D91"/>
    <w:rsid w:val="00E76F05"/>
    <w:rsid w:val="00E76FA5"/>
    <w:rsid w:val="00E772A6"/>
    <w:rsid w:val="00E77409"/>
    <w:rsid w:val="00E801E4"/>
    <w:rsid w:val="00E8027E"/>
    <w:rsid w:val="00E808DD"/>
    <w:rsid w:val="00E810C6"/>
    <w:rsid w:val="00E817D7"/>
    <w:rsid w:val="00E82052"/>
    <w:rsid w:val="00E83D5B"/>
    <w:rsid w:val="00E840F1"/>
    <w:rsid w:val="00E8417C"/>
    <w:rsid w:val="00E844C5"/>
    <w:rsid w:val="00E84864"/>
    <w:rsid w:val="00E84938"/>
    <w:rsid w:val="00E84DBA"/>
    <w:rsid w:val="00E84DBE"/>
    <w:rsid w:val="00E85250"/>
    <w:rsid w:val="00E858A5"/>
    <w:rsid w:val="00E86217"/>
    <w:rsid w:val="00E86908"/>
    <w:rsid w:val="00E878E5"/>
    <w:rsid w:val="00E90563"/>
    <w:rsid w:val="00E90CBA"/>
    <w:rsid w:val="00E91C70"/>
    <w:rsid w:val="00E91FC5"/>
    <w:rsid w:val="00E93564"/>
    <w:rsid w:val="00E937F6"/>
    <w:rsid w:val="00E93CC5"/>
    <w:rsid w:val="00E94006"/>
    <w:rsid w:val="00E95614"/>
    <w:rsid w:val="00E958D9"/>
    <w:rsid w:val="00E96837"/>
    <w:rsid w:val="00E97AE1"/>
    <w:rsid w:val="00EA00A4"/>
    <w:rsid w:val="00EA0C29"/>
    <w:rsid w:val="00EA137B"/>
    <w:rsid w:val="00EA19F7"/>
    <w:rsid w:val="00EA2197"/>
    <w:rsid w:val="00EA236A"/>
    <w:rsid w:val="00EA23CD"/>
    <w:rsid w:val="00EA2B11"/>
    <w:rsid w:val="00EA32CE"/>
    <w:rsid w:val="00EA3668"/>
    <w:rsid w:val="00EA3FEF"/>
    <w:rsid w:val="00EA4398"/>
    <w:rsid w:val="00EA502B"/>
    <w:rsid w:val="00EA5349"/>
    <w:rsid w:val="00EA5753"/>
    <w:rsid w:val="00EA5FB2"/>
    <w:rsid w:val="00EA713D"/>
    <w:rsid w:val="00EA722B"/>
    <w:rsid w:val="00EA7B0D"/>
    <w:rsid w:val="00EA7CC0"/>
    <w:rsid w:val="00EA7E51"/>
    <w:rsid w:val="00EA7FCA"/>
    <w:rsid w:val="00EB0437"/>
    <w:rsid w:val="00EB08A2"/>
    <w:rsid w:val="00EB0B99"/>
    <w:rsid w:val="00EB0F53"/>
    <w:rsid w:val="00EB13A2"/>
    <w:rsid w:val="00EB2A0F"/>
    <w:rsid w:val="00EB2C44"/>
    <w:rsid w:val="00EB2F83"/>
    <w:rsid w:val="00EB2FEB"/>
    <w:rsid w:val="00EB406C"/>
    <w:rsid w:val="00EB4739"/>
    <w:rsid w:val="00EB4A8F"/>
    <w:rsid w:val="00EB4CB4"/>
    <w:rsid w:val="00EB50C4"/>
    <w:rsid w:val="00EB5A49"/>
    <w:rsid w:val="00EB5D8D"/>
    <w:rsid w:val="00EB6BCB"/>
    <w:rsid w:val="00EB6DA7"/>
    <w:rsid w:val="00EB74BC"/>
    <w:rsid w:val="00EB75A1"/>
    <w:rsid w:val="00EB79FF"/>
    <w:rsid w:val="00EC042E"/>
    <w:rsid w:val="00EC04C5"/>
    <w:rsid w:val="00EC05F6"/>
    <w:rsid w:val="00EC0F4E"/>
    <w:rsid w:val="00EC1000"/>
    <w:rsid w:val="00EC1617"/>
    <w:rsid w:val="00EC1CF9"/>
    <w:rsid w:val="00EC1D74"/>
    <w:rsid w:val="00EC21BB"/>
    <w:rsid w:val="00EC2811"/>
    <w:rsid w:val="00EC2900"/>
    <w:rsid w:val="00EC3248"/>
    <w:rsid w:val="00EC32C6"/>
    <w:rsid w:val="00EC3418"/>
    <w:rsid w:val="00EC4483"/>
    <w:rsid w:val="00EC4E3C"/>
    <w:rsid w:val="00EC4EC6"/>
    <w:rsid w:val="00EC5193"/>
    <w:rsid w:val="00EC54DE"/>
    <w:rsid w:val="00EC6619"/>
    <w:rsid w:val="00EC6DDC"/>
    <w:rsid w:val="00EC6EB2"/>
    <w:rsid w:val="00EC71DA"/>
    <w:rsid w:val="00EC780F"/>
    <w:rsid w:val="00EC784F"/>
    <w:rsid w:val="00EC7AFC"/>
    <w:rsid w:val="00EC7B0B"/>
    <w:rsid w:val="00EC7BF8"/>
    <w:rsid w:val="00EC7E5C"/>
    <w:rsid w:val="00ED0088"/>
    <w:rsid w:val="00ED092D"/>
    <w:rsid w:val="00ED09A0"/>
    <w:rsid w:val="00ED1183"/>
    <w:rsid w:val="00ED149D"/>
    <w:rsid w:val="00ED1B9E"/>
    <w:rsid w:val="00ED1DB9"/>
    <w:rsid w:val="00ED20CD"/>
    <w:rsid w:val="00ED20F6"/>
    <w:rsid w:val="00ED22C1"/>
    <w:rsid w:val="00ED23C6"/>
    <w:rsid w:val="00ED25D6"/>
    <w:rsid w:val="00ED334E"/>
    <w:rsid w:val="00ED35E6"/>
    <w:rsid w:val="00ED3879"/>
    <w:rsid w:val="00ED3B3B"/>
    <w:rsid w:val="00ED4171"/>
    <w:rsid w:val="00ED42A6"/>
    <w:rsid w:val="00ED454B"/>
    <w:rsid w:val="00ED4A57"/>
    <w:rsid w:val="00ED4FC1"/>
    <w:rsid w:val="00ED501A"/>
    <w:rsid w:val="00ED59A5"/>
    <w:rsid w:val="00ED5B62"/>
    <w:rsid w:val="00ED61A1"/>
    <w:rsid w:val="00ED6285"/>
    <w:rsid w:val="00ED6EDE"/>
    <w:rsid w:val="00ED751D"/>
    <w:rsid w:val="00ED7AC6"/>
    <w:rsid w:val="00EE01B8"/>
    <w:rsid w:val="00EE10E0"/>
    <w:rsid w:val="00EE1547"/>
    <w:rsid w:val="00EE1A3F"/>
    <w:rsid w:val="00EE1B21"/>
    <w:rsid w:val="00EE2060"/>
    <w:rsid w:val="00EE22F0"/>
    <w:rsid w:val="00EE236D"/>
    <w:rsid w:val="00EE26C0"/>
    <w:rsid w:val="00EE2933"/>
    <w:rsid w:val="00EE3130"/>
    <w:rsid w:val="00EE3219"/>
    <w:rsid w:val="00EE356F"/>
    <w:rsid w:val="00EE361A"/>
    <w:rsid w:val="00EE36A7"/>
    <w:rsid w:val="00EE3DBD"/>
    <w:rsid w:val="00EE3FB2"/>
    <w:rsid w:val="00EE4630"/>
    <w:rsid w:val="00EE4714"/>
    <w:rsid w:val="00EE4D98"/>
    <w:rsid w:val="00EE4DBB"/>
    <w:rsid w:val="00EE503A"/>
    <w:rsid w:val="00EE5114"/>
    <w:rsid w:val="00EE545A"/>
    <w:rsid w:val="00EE5D7A"/>
    <w:rsid w:val="00EE612B"/>
    <w:rsid w:val="00EE67C4"/>
    <w:rsid w:val="00EE7132"/>
    <w:rsid w:val="00EF03DE"/>
    <w:rsid w:val="00EF0BE6"/>
    <w:rsid w:val="00EF2356"/>
    <w:rsid w:val="00EF2597"/>
    <w:rsid w:val="00EF27E4"/>
    <w:rsid w:val="00EF2928"/>
    <w:rsid w:val="00EF39B8"/>
    <w:rsid w:val="00EF3F0F"/>
    <w:rsid w:val="00EF4144"/>
    <w:rsid w:val="00EF45CC"/>
    <w:rsid w:val="00EF4F8F"/>
    <w:rsid w:val="00EF502F"/>
    <w:rsid w:val="00EF50D4"/>
    <w:rsid w:val="00EF511D"/>
    <w:rsid w:val="00EF5212"/>
    <w:rsid w:val="00EF56F2"/>
    <w:rsid w:val="00EF5818"/>
    <w:rsid w:val="00EF643F"/>
    <w:rsid w:val="00EF6546"/>
    <w:rsid w:val="00EF6627"/>
    <w:rsid w:val="00EF66F5"/>
    <w:rsid w:val="00EF6C53"/>
    <w:rsid w:val="00EF6DDD"/>
    <w:rsid w:val="00EF7092"/>
    <w:rsid w:val="00EF7418"/>
    <w:rsid w:val="00EF7DB0"/>
    <w:rsid w:val="00F0060A"/>
    <w:rsid w:val="00F01FA6"/>
    <w:rsid w:val="00F02601"/>
    <w:rsid w:val="00F0264A"/>
    <w:rsid w:val="00F02D32"/>
    <w:rsid w:val="00F035FF"/>
    <w:rsid w:val="00F04183"/>
    <w:rsid w:val="00F0445D"/>
    <w:rsid w:val="00F049E8"/>
    <w:rsid w:val="00F05826"/>
    <w:rsid w:val="00F05A5E"/>
    <w:rsid w:val="00F05EBC"/>
    <w:rsid w:val="00F065EA"/>
    <w:rsid w:val="00F0792A"/>
    <w:rsid w:val="00F07F85"/>
    <w:rsid w:val="00F106E1"/>
    <w:rsid w:val="00F10A85"/>
    <w:rsid w:val="00F11614"/>
    <w:rsid w:val="00F117F5"/>
    <w:rsid w:val="00F118B8"/>
    <w:rsid w:val="00F118CC"/>
    <w:rsid w:val="00F11F30"/>
    <w:rsid w:val="00F11FDF"/>
    <w:rsid w:val="00F13255"/>
    <w:rsid w:val="00F1354B"/>
    <w:rsid w:val="00F136B6"/>
    <w:rsid w:val="00F13D73"/>
    <w:rsid w:val="00F140D5"/>
    <w:rsid w:val="00F147A0"/>
    <w:rsid w:val="00F1665F"/>
    <w:rsid w:val="00F16DB6"/>
    <w:rsid w:val="00F16F14"/>
    <w:rsid w:val="00F176AA"/>
    <w:rsid w:val="00F177B6"/>
    <w:rsid w:val="00F1786B"/>
    <w:rsid w:val="00F17A10"/>
    <w:rsid w:val="00F17C98"/>
    <w:rsid w:val="00F17D97"/>
    <w:rsid w:val="00F17FC6"/>
    <w:rsid w:val="00F20014"/>
    <w:rsid w:val="00F20680"/>
    <w:rsid w:val="00F20AD8"/>
    <w:rsid w:val="00F20F7E"/>
    <w:rsid w:val="00F22017"/>
    <w:rsid w:val="00F221DC"/>
    <w:rsid w:val="00F22787"/>
    <w:rsid w:val="00F22A08"/>
    <w:rsid w:val="00F22AC8"/>
    <w:rsid w:val="00F2315D"/>
    <w:rsid w:val="00F23B9B"/>
    <w:rsid w:val="00F23DAA"/>
    <w:rsid w:val="00F24715"/>
    <w:rsid w:val="00F24A12"/>
    <w:rsid w:val="00F24B4A"/>
    <w:rsid w:val="00F24C3A"/>
    <w:rsid w:val="00F24FC0"/>
    <w:rsid w:val="00F258C0"/>
    <w:rsid w:val="00F259D4"/>
    <w:rsid w:val="00F25A1C"/>
    <w:rsid w:val="00F25BF3"/>
    <w:rsid w:val="00F25CE3"/>
    <w:rsid w:val="00F25D93"/>
    <w:rsid w:val="00F2612B"/>
    <w:rsid w:val="00F261BD"/>
    <w:rsid w:val="00F2684F"/>
    <w:rsid w:val="00F268E3"/>
    <w:rsid w:val="00F26B4C"/>
    <w:rsid w:val="00F26F7C"/>
    <w:rsid w:val="00F27345"/>
    <w:rsid w:val="00F2736A"/>
    <w:rsid w:val="00F2746A"/>
    <w:rsid w:val="00F30464"/>
    <w:rsid w:val="00F30D6A"/>
    <w:rsid w:val="00F311F3"/>
    <w:rsid w:val="00F315F3"/>
    <w:rsid w:val="00F31D81"/>
    <w:rsid w:val="00F31EC8"/>
    <w:rsid w:val="00F32461"/>
    <w:rsid w:val="00F32946"/>
    <w:rsid w:val="00F32A38"/>
    <w:rsid w:val="00F32E0F"/>
    <w:rsid w:val="00F32E29"/>
    <w:rsid w:val="00F32F40"/>
    <w:rsid w:val="00F33066"/>
    <w:rsid w:val="00F33AB9"/>
    <w:rsid w:val="00F34122"/>
    <w:rsid w:val="00F346A4"/>
    <w:rsid w:val="00F34D21"/>
    <w:rsid w:val="00F34FCA"/>
    <w:rsid w:val="00F35000"/>
    <w:rsid w:val="00F358EE"/>
    <w:rsid w:val="00F35AA0"/>
    <w:rsid w:val="00F35B7B"/>
    <w:rsid w:val="00F371E7"/>
    <w:rsid w:val="00F378AE"/>
    <w:rsid w:val="00F40025"/>
    <w:rsid w:val="00F402EF"/>
    <w:rsid w:val="00F40BAB"/>
    <w:rsid w:val="00F41509"/>
    <w:rsid w:val="00F417DD"/>
    <w:rsid w:val="00F41CB4"/>
    <w:rsid w:val="00F41E40"/>
    <w:rsid w:val="00F421E5"/>
    <w:rsid w:val="00F42F6E"/>
    <w:rsid w:val="00F43860"/>
    <w:rsid w:val="00F444B4"/>
    <w:rsid w:val="00F450A7"/>
    <w:rsid w:val="00F45514"/>
    <w:rsid w:val="00F45B13"/>
    <w:rsid w:val="00F45C2A"/>
    <w:rsid w:val="00F46199"/>
    <w:rsid w:val="00F46D79"/>
    <w:rsid w:val="00F46E8A"/>
    <w:rsid w:val="00F47A35"/>
    <w:rsid w:val="00F50A7E"/>
    <w:rsid w:val="00F50ADF"/>
    <w:rsid w:val="00F50C39"/>
    <w:rsid w:val="00F51206"/>
    <w:rsid w:val="00F51477"/>
    <w:rsid w:val="00F5149A"/>
    <w:rsid w:val="00F5169D"/>
    <w:rsid w:val="00F51D5A"/>
    <w:rsid w:val="00F51E69"/>
    <w:rsid w:val="00F51EE9"/>
    <w:rsid w:val="00F52610"/>
    <w:rsid w:val="00F52C17"/>
    <w:rsid w:val="00F52CC7"/>
    <w:rsid w:val="00F53729"/>
    <w:rsid w:val="00F53786"/>
    <w:rsid w:val="00F5404C"/>
    <w:rsid w:val="00F543F3"/>
    <w:rsid w:val="00F54729"/>
    <w:rsid w:val="00F54AE9"/>
    <w:rsid w:val="00F54B62"/>
    <w:rsid w:val="00F555AA"/>
    <w:rsid w:val="00F557F0"/>
    <w:rsid w:val="00F55984"/>
    <w:rsid w:val="00F55B7C"/>
    <w:rsid w:val="00F55CB7"/>
    <w:rsid w:val="00F5623F"/>
    <w:rsid w:val="00F5667B"/>
    <w:rsid w:val="00F5684C"/>
    <w:rsid w:val="00F569CC"/>
    <w:rsid w:val="00F56D67"/>
    <w:rsid w:val="00F57273"/>
    <w:rsid w:val="00F573E9"/>
    <w:rsid w:val="00F57647"/>
    <w:rsid w:val="00F57B23"/>
    <w:rsid w:val="00F57FE9"/>
    <w:rsid w:val="00F60223"/>
    <w:rsid w:val="00F60332"/>
    <w:rsid w:val="00F61691"/>
    <w:rsid w:val="00F61845"/>
    <w:rsid w:val="00F619AF"/>
    <w:rsid w:val="00F625D1"/>
    <w:rsid w:val="00F6260B"/>
    <w:rsid w:val="00F633E6"/>
    <w:rsid w:val="00F63DC1"/>
    <w:rsid w:val="00F6411E"/>
    <w:rsid w:val="00F64D14"/>
    <w:rsid w:val="00F64D35"/>
    <w:rsid w:val="00F64D6E"/>
    <w:rsid w:val="00F64E19"/>
    <w:rsid w:val="00F64F95"/>
    <w:rsid w:val="00F654FE"/>
    <w:rsid w:val="00F65F4B"/>
    <w:rsid w:val="00F662E9"/>
    <w:rsid w:val="00F6655E"/>
    <w:rsid w:val="00F67490"/>
    <w:rsid w:val="00F70C2F"/>
    <w:rsid w:val="00F70E3B"/>
    <w:rsid w:val="00F70EFE"/>
    <w:rsid w:val="00F7103D"/>
    <w:rsid w:val="00F711CA"/>
    <w:rsid w:val="00F714C9"/>
    <w:rsid w:val="00F7224E"/>
    <w:rsid w:val="00F72746"/>
    <w:rsid w:val="00F73FEB"/>
    <w:rsid w:val="00F744FE"/>
    <w:rsid w:val="00F74902"/>
    <w:rsid w:val="00F749BC"/>
    <w:rsid w:val="00F7510E"/>
    <w:rsid w:val="00F75AF1"/>
    <w:rsid w:val="00F75C64"/>
    <w:rsid w:val="00F760C5"/>
    <w:rsid w:val="00F770C1"/>
    <w:rsid w:val="00F770FA"/>
    <w:rsid w:val="00F77840"/>
    <w:rsid w:val="00F77A34"/>
    <w:rsid w:val="00F77BF7"/>
    <w:rsid w:val="00F77F75"/>
    <w:rsid w:val="00F80341"/>
    <w:rsid w:val="00F80478"/>
    <w:rsid w:val="00F8064E"/>
    <w:rsid w:val="00F8083D"/>
    <w:rsid w:val="00F81B41"/>
    <w:rsid w:val="00F82615"/>
    <w:rsid w:val="00F82908"/>
    <w:rsid w:val="00F8308C"/>
    <w:rsid w:val="00F83F04"/>
    <w:rsid w:val="00F844AE"/>
    <w:rsid w:val="00F845D2"/>
    <w:rsid w:val="00F84B27"/>
    <w:rsid w:val="00F852C7"/>
    <w:rsid w:val="00F8546A"/>
    <w:rsid w:val="00F85A15"/>
    <w:rsid w:val="00F85D6F"/>
    <w:rsid w:val="00F85E8C"/>
    <w:rsid w:val="00F85F78"/>
    <w:rsid w:val="00F865AC"/>
    <w:rsid w:val="00F86A13"/>
    <w:rsid w:val="00F86E13"/>
    <w:rsid w:val="00F90057"/>
    <w:rsid w:val="00F90615"/>
    <w:rsid w:val="00F909CF"/>
    <w:rsid w:val="00F90CBB"/>
    <w:rsid w:val="00F91400"/>
    <w:rsid w:val="00F919CD"/>
    <w:rsid w:val="00F91C00"/>
    <w:rsid w:val="00F91DD2"/>
    <w:rsid w:val="00F92039"/>
    <w:rsid w:val="00F927AB"/>
    <w:rsid w:val="00F92B4D"/>
    <w:rsid w:val="00F93A5B"/>
    <w:rsid w:val="00F93D62"/>
    <w:rsid w:val="00F93F5F"/>
    <w:rsid w:val="00F941F5"/>
    <w:rsid w:val="00F947CD"/>
    <w:rsid w:val="00F94FED"/>
    <w:rsid w:val="00F9520B"/>
    <w:rsid w:val="00F95274"/>
    <w:rsid w:val="00F95A9D"/>
    <w:rsid w:val="00F9604A"/>
    <w:rsid w:val="00F96C7F"/>
    <w:rsid w:val="00F96EAA"/>
    <w:rsid w:val="00F96F2A"/>
    <w:rsid w:val="00F9784D"/>
    <w:rsid w:val="00F979FE"/>
    <w:rsid w:val="00F97EE3"/>
    <w:rsid w:val="00F97FAE"/>
    <w:rsid w:val="00FA016C"/>
    <w:rsid w:val="00FA0601"/>
    <w:rsid w:val="00FA0749"/>
    <w:rsid w:val="00FA0EB7"/>
    <w:rsid w:val="00FA1697"/>
    <w:rsid w:val="00FA20B2"/>
    <w:rsid w:val="00FA23C8"/>
    <w:rsid w:val="00FA26F3"/>
    <w:rsid w:val="00FA29A3"/>
    <w:rsid w:val="00FA2DFE"/>
    <w:rsid w:val="00FA2E4B"/>
    <w:rsid w:val="00FA3116"/>
    <w:rsid w:val="00FA39B4"/>
    <w:rsid w:val="00FA3C53"/>
    <w:rsid w:val="00FA4CF7"/>
    <w:rsid w:val="00FA50EF"/>
    <w:rsid w:val="00FA50F8"/>
    <w:rsid w:val="00FA540E"/>
    <w:rsid w:val="00FA56E1"/>
    <w:rsid w:val="00FA64E7"/>
    <w:rsid w:val="00FA650F"/>
    <w:rsid w:val="00FA67FF"/>
    <w:rsid w:val="00FA6B69"/>
    <w:rsid w:val="00FA6DD5"/>
    <w:rsid w:val="00FA72A1"/>
    <w:rsid w:val="00FA72AB"/>
    <w:rsid w:val="00FA7B27"/>
    <w:rsid w:val="00FA7CFA"/>
    <w:rsid w:val="00FB06D7"/>
    <w:rsid w:val="00FB09D6"/>
    <w:rsid w:val="00FB0EE4"/>
    <w:rsid w:val="00FB10AA"/>
    <w:rsid w:val="00FB10F1"/>
    <w:rsid w:val="00FB1CBB"/>
    <w:rsid w:val="00FB2F69"/>
    <w:rsid w:val="00FB309A"/>
    <w:rsid w:val="00FB3327"/>
    <w:rsid w:val="00FB4099"/>
    <w:rsid w:val="00FB45A4"/>
    <w:rsid w:val="00FB4EEE"/>
    <w:rsid w:val="00FB5A2F"/>
    <w:rsid w:val="00FB5C4C"/>
    <w:rsid w:val="00FB6BCC"/>
    <w:rsid w:val="00FB700F"/>
    <w:rsid w:val="00FB70E0"/>
    <w:rsid w:val="00FB7C87"/>
    <w:rsid w:val="00FC0037"/>
    <w:rsid w:val="00FC060F"/>
    <w:rsid w:val="00FC06EE"/>
    <w:rsid w:val="00FC0E5E"/>
    <w:rsid w:val="00FC2627"/>
    <w:rsid w:val="00FC275F"/>
    <w:rsid w:val="00FC278A"/>
    <w:rsid w:val="00FC29FE"/>
    <w:rsid w:val="00FC32AB"/>
    <w:rsid w:val="00FC38D9"/>
    <w:rsid w:val="00FC3E90"/>
    <w:rsid w:val="00FC4137"/>
    <w:rsid w:val="00FC4411"/>
    <w:rsid w:val="00FC46A1"/>
    <w:rsid w:val="00FC481C"/>
    <w:rsid w:val="00FC49F2"/>
    <w:rsid w:val="00FC4D94"/>
    <w:rsid w:val="00FC53B6"/>
    <w:rsid w:val="00FC557C"/>
    <w:rsid w:val="00FC5982"/>
    <w:rsid w:val="00FC5C4A"/>
    <w:rsid w:val="00FC5CF2"/>
    <w:rsid w:val="00FC5D69"/>
    <w:rsid w:val="00FC5D95"/>
    <w:rsid w:val="00FC5ED9"/>
    <w:rsid w:val="00FC61BA"/>
    <w:rsid w:val="00FC61EC"/>
    <w:rsid w:val="00FC6730"/>
    <w:rsid w:val="00FC69F0"/>
    <w:rsid w:val="00FC6C78"/>
    <w:rsid w:val="00FC7922"/>
    <w:rsid w:val="00FC795F"/>
    <w:rsid w:val="00FD02B0"/>
    <w:rsid w:val="00FD02EE"/>
    <w:rsid w:val="00FD061F"/>
    <w:rsid w:val="00FD08F7"/>
    <w:rsid w:val="00FD0A0A"/>
    <w:rsid w:val="00FD0C19"/>
    <w:rsid w:val="00FD0E6D"/>
    <w:rsid w:val="00FD0EB8"/>
    <w:rsid w:val="00FD1B91"/>
    <w:rsid w:val="00FD1FAB"/>
    <w:rsid w:val="00FD20AF"/>
    <w:rsid w:val="00FD21B1"/>
    <w:rsid w:val="00FD2970"/>
    <w:rsid w:val="00FD2B1A"/>
    <w:rsid w:val="00FD2E17"/>
    <w:rsid w:val="00FD2F17"/>
    <w:rsid w:val="00FD3343"/>
    <w:rsid w:val="00FD336F"/>
    <w:rsid w:val="00FD38F1"/>
    <w:rsid w:val="00FD3AC7"/>
    <w:rsid w:val="00FD414F"/>
    <w:rsid w:val="00FD4278"/>
    <w:rsid w:val="00FD466D"/>
    <w:rsid w:val="00FD4823"/>
    <w:rsid w:val="00FD4A24"/>
    <w:rsid w:val="00FD4C9A"/>
    <w:rsid w:val="00FD4F75"/>
    <w:rsid w:val="00FD503E"/>
    <w:rsid w:val="00FD535E"/>
    <w:rsid w:val="00FD53F9"/>
    <w:rsid w:val="00FD55BF"/>
    <w:rsid w:val="00FD5C92"/>
    <w:rsid w:val="00FD6602"/>
    <w:rsid w:val="00FD6661"/>
    <w:rsid w:val="00FD6E6B"/>
    <w:rsid w:val="00FD7235"/>
    <w:rsid w:val="00FD7508"/>
    <w:rsid w:val="00FD7560"/>
    <w:rsid w:val="00FD78BF"/>
    <w:rsid w:val="00FD7A43"/>
    <w:rsid w:val="00FD7D18"/>
    <w:rsid w:val="00FE0D17"/>
    <w:rsid w:val="00FE12E4"/>
    <w:rsid w:val="00FE1A5E"/>
    <w:rsid w:val="00FE1DB5"/>
    <w:rsid w:val="00FE21E5"/>
    <w:rsid w:val="00FE24BC"/>
    <w:rsid w:val="00FE2B71"/>
    <w:rsid w:val="00FE2FD9"/>
    <w:rsid w:val="00FE308D"/>
    <w:rsid w:val="00FE319E"/>
    <w:rsid w:val="00FE3903"/>
    <w:rsid w:val="00FE395D"/>
    <w:rsid w:val="00FE3F99"/>
    <w:rsid w:val="00FE4CEF"/>
    <w:rsid w:val="00FE523F"/>
    <w:rsid w:val="00FE52F3"/>
    <w:rsid w:val="00FE5443"/>
    <w:rsid w:val="00FE54DF"/>
    <w:rsid w:val="00FE5B1D"/>
    <w:rsid w:val="00FE5E43"/>
    <w:rsid w:val="00FE6444"/>
    <w:rsid w:val="00FE64F1"/>
    <w:rsid w:val="00FE6B54"/>
    <w:rsid w:val="00FE6F8B"/>
    <w:rsid w:val="00FE77D9"/>
    <w:rsid w:val="00FF02C8"/>
    <w:rsid w:val="00FF0485"/>
    <w:rsid w:val="00FF05BC"/>
    <w:rsid w:val="00FF0B1D"/>
    <w:rsid w:val="00FF0CBA"/>
    <w:rsid w:val="00FF1D2F"/>
    <w:rsid w:val="00FF2180"/>
    <w:rsid w:val="00FF23DB"/>
    <w:rsid w:val="00FF30A7"/>
    <w:rsid w:val="00FF34A8"/>
    <w:rsid w:val="00FF3CE7"/>
    <w:rsid w:val="00FF41DF"/>
    <w:rsid w:val="00FF443A"/>
    <w:rsid w:val="00FF4568"/>
    <w:rsid w:val="00FF4F98"/>
    <w:rsid w:val="00FF580E"/>
    <w:rsid w:val="00FF5886"/>
    <w:rsid w:val="00FF5D70"/>
    <w:rsid w:val="00FF6332"/>
    <w:rsid w:val="00FF647B"/>
    <w:rsid w:val="00FF6B06"/>
    <w:rsid w:val="00FF6C47"/>
    <w:rsid w:val="00FF6DA3"/>
    <w:rsid w:val="00FF6ECC"/>
    <w:rsid w:val="00FF75CF"/>
    <w:rsid w:val="00FF79C4"/>
    <w:rsid w:val="00FF7A7E"/>
    <w:rsid w:val="00FF7C4A"/>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4AA3F"/>
  <w15:chartTrackingRefBased/>
  <w15:docId w15:val="{746199E3-31BC-4A97-BF9A-6BBA19E4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3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14C8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E4DC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72F"/>
    <w:pPr>
      <w:tabs>
        <w:tab w:val="center" w:pos="4680"/>
        <w:tab w:val="right" w:pos="9360"/>
      </w:tabs>
    </w:pPr>
  </w:style>
  <w:style w:type="character" w:customStyle="1" w:styleId="HeaderChar">
    <w:name w:val="Header Char"/>
    <w:basedOn w:val="DefaultParagraphFont"/>
    <w:link w:val="Header"/>
    <w:uiPriority w:val="99"/>
    <w:rsid w:val="0054172F"/>
  </w:style>
  <w:style w:type="paragraph" w:styleId="Footer">
    <w:name w:val="footer"/>
    <w:basedOn w:val="Normal"/>
    <w:link w:val="FooterChar"/>
    <w:uiPriority w:val="99"/>
    <w:unhideWhenUsed/>
    <w:rsid w:val="0054172F"/>
    <w:pPr>
      <w:tabs>
        <w:tab w:val="center" w:pos="4680"/>
        <w:tab w:val="right" w:pos="9360"/>
      </w:tabs>
    </w:pPr>
  </w:style>
  <w:style w:type="character" w:customStyle="1" w:styleId="FooterChar">
    <w:name w:val="Footer Char"/>
    <w:basedOn w:val="DefaultParagraphFont"/>
    <w:link w:val="Footer"/>
    <w:uiPriority w:val="99"/>
    <w:rsid w:val="0054172F"/>
  </w:style>
  <w:style w:type="paragraph" w:styleId="BalloonText">
    <w:name w:val="Balloon Text"/>
    <w:basedOn w:val="Normal"/>
    <w:link w:val="BalloonTextChar"/>
    <w:uiPriority w:val="99"/>
    <w:semiHidden/>
    <w:unhideWhenUsed/>
    <w:rsid w:val="0054172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172F"/>
    <w:rPr>
      <w:rFonts w:ascii="Times New Roman" w:hAnsi="Times New Roman" w:cs="Times New Roman"/>
      <w:sz w:val="18"/>
      <w:szCs w:val="18"/>
    </w:rPr>
  </w:style>
  <w:style w:type="table" w:styleId="TableGrid">
    <w:name w:val="Table Grid"/>
    <w:basedOn w:val="TableNormal"/>
    <w:uiPriority w:val="59"/>
    <w:rsid w:val="00351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77187"/>
  </w:style>
  <w:style w:type="paragraph" w:styleId="ListParagraph">
    <w:name w:val="List Paragraph"/>
    <w:aliases w:val="EX Bullet"/>
    <w:basedOn w:val="Normal"/>
    <w:link w:val="ListParagraphChar"/>
    <w:uiPriority w:val="34"/>
    <w:qFormat/>
    <w:rsid w:val="00A45441"/>
    <w:pPr>
      <w:ind w:left="720"/>
      <w:contextualSpacing/>
    </w:pPr>
  </w:style>
  <w:style w:type="character" w:styleId="Hyperlink">
    <w:name w:val="Hyperlink"/>
    <w:basedOn w:val="DefaultParagraphFont"/>
    <w:uiPriority w:val="99"/>
    <w:unhideWhenUsed/>
    <w:rsid w:val="004B12ED"/>
    <w:rPr>
      <w:color w:val="0563C1" w:themeColor="hyperlink"/>
      <w:u w:val="single"/>
    </w:rPr>
  </w:style>
  <w:style w:type="character" w:styleId="UnresolvedMention">
    <w:name w:val="Unresolved Mention"/>
    <w:basedOn w:val="DefaultParagraphFont"/>
    <w:uiPriority w:val="99"/>
    <w:semiHidden/>
    <w:unhideWhenUsed/>
    <w:rsid w:val="004B12ED"/>
    <w:rPr>
      <w:color w:val="605E5C"/>
      <w:shd w:val="clear" w:color="auto" w:fill="E1DFDD"/>
    </w:rPr>
  </w:style>
  <w:style w:type="character" w:customStyle="1" w:styleId="ListParagraphChar">
    <w:name w:val="List Paragraph Char"/>
    <w:aliases w:val="EX Bullet Char"/>
    <w:link w:val="ListParagraph"/>
    <w:uiPriority w:val="34"/>
    <w:locked/>
    <w:rsid w:val="002931ED"/>
  </w:style>
  <w:style w:type="paragraph" w:customStyle="1" w:styleId="DehPressRelease">
    <w:name w:val="Deh_Press_Release"/>
    <w:basedOn w:val="Normal"/>
    <w:link w:val="DehPressReleaseChar"/>
    <w:qFormat/>
    <w:rsid w:val="004E7CE8"/>
    <w:pPr>
      <w:spacing w:after="160" w:line="259" w:lineRule="auto"/>
    </w:pPr>
    <w:rPr>
      <w:rFonts w:ascii="Ping LCG Regular" w:hAnsi="Ping LCG Regular"/>
      <w:sz w:val="22"/>
      <w:szCs w:val="28"/>
      <w:lang w:val="el-GR"/>
    </w:rPr>
  </w:style>
  <w:style w:type="character" w:customStyle="1" w:styleId="DehPressReleaseChar">
    <w:name w:val="Deh_Press_Release Char"/>
    <w:basedOn w:val="DefaultParagraphFont"/>
    <w:link w:val="DehPressRelease"/>
    <w:rsid w:val="004E7CE8"/>
    <w:rPr>
      <w:rFonts w:ascii="Ping LCG Regular" w:hAnsi="Ping LCG Regular"/>
      <w:sz w:val="22"/>
      <w:szCs w:val="28"/>
      <w:lang w:val="el-GR"/>
    </w:rPr>
  </w:style>
  <w:style w:type="character" w:styleId="CommentReference">
    <w:name w:val="annotation reference"/>
    <w:basedOn w:val="DefaultParagraphFont"/>
    <w:uiPriority w:val="99"/>
    <w:semiHidden/>
    <w:unhideWhenUsed/>
    <w:rsid w:val="004E7CE8"/>
    <w:rPr>
      <w:sz w:val="16"/>
      <w:szCs w:val="16"/>
    </w:rPr>
  </w:style>
  <w:style w:type="paragraph" w:styleId="CommentText">
    <w:name w:val="annotation text"/>
    <w:basedOn w:val="Normal"/>
    <w:link w:val="CommentTextChar"/>
    <w:uiPriority w:val="99"/>
    <w:unhideWhenUsed/>
    <w:rsid w:val="004E7CE8"/>
    <w:rPr>
      <w:sz w:val="20"/>
      <w:szCs w:val="20"/>
    </w:rPr>
  </w:style>
  <w:style w:type="character" w:customStyle="1" w:styleId="CommentTextChar">
    <w:name w:val="Comment Text Char"/>
    <w:basedOn w:val="DefaultParagraphFont"/>
    <w:link w:val="CommentText"/>
    <w:uiPriority w:val="99"/>
    <w:rsid w:val="004E7CE8"/>
    <w:rPr>
      <w:sz w:val="20"/>
      <w:szCs w:val="20"/>
    </w:rPr>
  </w:style>
  <w:style w:type="paragraph" w:styleId="Revision">
    <w:name w:val="Revision"/>
    <w:hidden/>
    <w:uiPriority w:val="99"/>
    <w:semiHidden/>
    <w:rsid w:val="00333A95"/>
  </w:style>
  <w:style w:type="paragraph" w:styleId="FootnoteText">
    <w:name w:val="footnote text"/>
    <w:basedOn w:val="Normal"/>
    <w:link w:val="FootnoteTextChar"/>
    <w:uiPriority w:val="99"/>
    <w:unhideWhenUsed/>
    <w:rsid w:val="00B038DD"/>
    <w:rPr>
      <w:rFonts w:ascii="Ping LCG Regular" w:hAnsi="Ping LCG Regular" w:cs="Times New Roman (Body CS)"/>
      <w:sz w:val="20"/>
      <w:szCs w:val="20"/>
    </w:rPr>
  </w:style>
  <w:style w:type="character" w:customStyle="1" w:styleId="FootnoteTextChar">
    <w:name w:val="Footnote Text Char"/>
    <w:basedOn w:val="DefaultParagraphFont"/>
    <w:link w:val="FootnoteText"/>
    <w:uiPriority w:val="99"/>
    <w:rsid w:val="00B038DD"/>
    <w:rPr>
      <w:rFonts w:ascii="Ping LCG Regular" w:hAnsi="Ping LCG Regular" w:cs="Times New Roman (Body CS)"/>
      <w:sz w:val="20"/>
      <w:szCs w:val="20"/>
    </w:rPr>
  </w:style>
  <w:style w:type="character" w:styleId="FootnoteReference">
    <w:name w:val="footnote reference"/>
    <w:basedOn w:val="DefaultParagraphFont"/>
    <w:uiPriority w:val="99"/>
    <w:unhideWhenUsed/>
    <w:rsid w:val="00B038DD"/>
    <w:rPr>
      <w:vertAlign w:val="superscript"/>
    </w:rPr>
  </w:style>
  <w:style w:type="paragraph" w:styleId="NormalWeb">
    <w:name w:val="Normal (Web)"/>
    <w:basedOn w:val="Normal"/>
    <w:uiPriority w:val="99"/>
    <w:unhideWhenUsed/>
    <w:rsid w:val="0052195E"/>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14C8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0E4DC2"/>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DB23C8"/>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05744"/>
    <w:rPr>
      <w:b/>
      <w:bCs/>
    </w:rPr>
  </w:style>
  <w:style w:type="character" w:customStyle="1" w:styleId="CommentSubjectChar">
    <w:name w:val="Comment Subject Char"/>
    <w:basedOn w:val="CommentTextChar"/>
    <w:link w:val="CommentSubject"/>
    <w:uiPriority w:val="99"/>
    <w:semiHidden/>
    <w:rsid w:val="00805744"/>
    <w:rPr>
      <w:b/>
      <w:bCs/>
      <w:sz w:val="20"/>
      <w:szCs w:val="20"/>
    </w:rPr>
  </w:style>
  <w:style w:type="paragraph" w:customStyle="1" w:styleId="Default">
    <w:name w:val="Default"/>
    <w:rsid w:val="00900F60"/>
    <w:pPr>
      <w:autoSpaceDE w:val="0"/>
      <w:autoSpaceDN w:val="0"/>
      <w:adjustRightInd w:val="0"/>
    </w:pPr>
    <w:rPr>
      <w:rFonts w:ascii="Ping LCG Regular" w:hAnsi="Ping LCG Regular" w:cs="Ping LCG 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4757">
      <w:bodyDiv w:val="1"/>
      <w:marLeft w:val="0"/>
      <w:marRight w:val="0"/>
      <w:marTop w:val="0"/>
      <w:marBottom w:val="0"/>
      <w:divBdr>
        <w:top w:val="none" w:sz="0" w:space="0" w:color="auto"/>
        <w:left w:val="none" w:sz="0" w:space="0" w:color="auto"/>
        <w:bottom w:val="none" w:sz="0" w:space="0" w:color="auto"/>
        <w:right w:val="none" w:sz="0" w:space="0" w:color="auto"/>
      </w:divBdr>
    </w:div>
    <w:div w:id="114370775">
      <w:bodyDiv w:val="1"/>
      <w:marLeft w:val="0"/>
      <w:marRight w:val="0"/>
      <w:marTop w:val="0"/>
      <w:marBottom w:val="0"/>
      <w:divBdr>
        <w:top w:val="none" w:sz="0" w:space="0" w:color="auto"/>
        <w:left w:val="none" w:sz="0" w:space="0" w:color="auto"/>
        <w:bottom w:val="none" w:sz="0" w:space="0" w:color="auto"/>
        <w:right w:val="none" w:sz="0" w:space="0" w:color="auto"/>
      </w:divBdr>
    </w:div>
    <w:div w:id="140974930">
      <w:bodyDiv w:val="1"/>
      <w:marLeft w:val="0"/>
      <w:marRight w:val="0"/>
      <w:marTop w:val="0"/>
      <w:marBottom w:val="0"/>
      <w:divBdr>
        <w:top w:val="none" w:sz="0" w:space="0" w:color="auto"/>
        <w:left w:val="none" w:sz="0" w:space="0" w:color="auto"/>
        <w:bottom w:val="none" w:sz="0" w:space="0" w:color="auto"/>
        <w:right w:val="none" w:sz="0" w:space="0" w:color="auto"/>
      </w:divBdr>
    </w:div>
    <w:div w:id="292055409">
      <w:bodyDiv w:val="1"/>
      <w:marLeft w:val="0"/>
      <w:marRight w:val="0"/>
      <w:marTop w:val="0"/>
      <w:marBottom w:val="0"/>
      <w:divBdr>
        <w:top w:val="none" w:sz="0" w:space="0" w:color="auto"/>
        <w:left w:val="none" w:sz="0" w:space="0" w:color="auto"/>
        <w:bottom w:val="none" w:sz="0" w:space="0" w:color="auto"/>
        <w:right w:val="none" w:sz="0" w:space="0" w:color="auto"/>
      </w:divBdr>
    </w:div>
    <w:div w:id="308441108">
      <w:bodyDiv w:val="1"/>
      <w:marLeft w:val="0"/>
      <w:marRight w:val="0"/>
      <w:marTop w:val="0"/>
      <w:marBottom w:val="0"/>
      <w:divBdr>
        <w:top w:val="none" w:sz="0" w:space="0" w:color="auto"/>
        <w:left w:val="none" w:sz="0" w:space="0" w:color="auto"/>
        <w:bottom w:val="none" w:sz="0" w:space="0" w:color="auto"/>
        <w:right w:val="none" w:sz="0" w:space="0" w:color="auto"/>
      </w:divBdr>
      <w:divsChild>
        <w:div w:id="131869246">
          <w:marLeft w:val="331"/>
          <w:marRight w:val="0"/>
          <w:marTop w:val="0"/>
          <w:marBottom w:val="120"/>
          <w:divBdr>
            <w:top w:val="none" w:sz="0" w:space="0" w:color="auto"/>
            <w:left w:val="none" w:sz="0" w:space="0" w:color="auto"/>
            <w:bottom w:val="none" w:sz="0" w:space="0" w:color="auto"/>
            <w:right w:val="none" w:sz="0" w:space="0" w:color="auto"/>
          </w:divBdr>
        </w:div>
      </w:divsChild>
    </w:div>
    <w:div w:id="337075133">
      <w:bodyDiv w:val="1"/>
      <w:marLeft w:val="0"/>
      <w:marRight w:val="0"/>
      <w:marTop w:val="0"/>
      <w:marBottom w:val="0"/>
      <w:divBdr>
        <w:top w:val="none" w:sz="0" w:space="0" w:color="auto"/>
        <w:left w:val="none" w:sz="0" w:space="0" w:color="auto"/>
        <w:bottom w:val="none" w:sz="0" w:space="0" w:color="auto"/>
        <w:right w:val="none" w:sz="0" w:space="0" w:color="auto"/>
      </w:divBdr>
    </w:div>
    <w:div w:id="354501828">
      <w:bodyDiv w:val="1"/>
      <w:marLeft w:val="0"/>
      <w:marRight w:val="0"/>
      <w:marTop w:val="0"/>
      <w:marBottom w:val="0"/>
      <w:divBdr>
        <w:top w:val="none" w:sz="0" w:space="0" w:color="auto"/>
        <w:left w:val="none" w:sz="0" w:space="0" w:color="auto"/>
        <w:bottom w:val="none" w:sz="0" w:space="0" w:color="auto"/>
        <w:right w:val="none" w:sz="0" w:space="0" w:color="auto"/>
      </w:divBdr>
    </w:div>
    <w:div w:id="366367960">
      <w:bodyDiv w:val="1"/>
      <w:marLeft w:val="0"/>
      <w:marRight w:val="0"/>
      <w:marTop w:val="0"/>
      <w:marBottom w:val="0"/>
      <w:divBdr>
        <w:top w:val="none" w:sz="0" w:space="0" w:color="auto"/>
        <w:left w:val="none" w:sz="0" w:space="0" w:color="auto"/>
        <w:bottom w:val="none" w:sz="0" w:space="0" w:color="auto"/>
        <w:right w:val="none" w:sz="0" w:space="0" w:color="auto"/>
      </w:divBdr>
    </w:div>
    <w:div w:id="420415496">
      <w:bodyDiv w:val="1"/>
      <w:marLeft w:val="0"/>
      <w:marRight w:val="0"/>
      <w:marTop w:val="0"/>
      <w:marBottom w:val="0"/>
      <w:divBdr>
        <w:top w:val="none" w:sz="0" w:space="0" w:color="auto"/>
        <w:left w:val="none" w:sz="0" w:space="0" w:color="auto"/>
        <w:bottom w:val="none" w:sz="0" w:space="0" w:color="auto"/>
        <w:right w:val="none" w:sz="0" w:space="0" w:color="auto"/>
      </w:divBdr>
      <w:divsChild>
        <w:div w:id="1812558596">
          <w:marLeft w:val="0"/>
          <w:marRight w:val="0"/>
          <w:marTop w:val="0"/>
          <w:marBottom w:val="0"/>
          <w:divBdr>
            <w:top w:val="none" w:sz="0" w:space="0" w:color="auto"/>
            <w:left w:val="none" w:sz="0" w:space="0" w:color="auto"/>
            <w:bottom w:val="none" w:sz="0" w:space="0" w:color="auto"/>
            <w:right w:val="none" w:sz="0" w:space="0" w:color="auto"/>
          </w:divBdr>
        </w:div>
      </w:divsChild>
    </w:div>
    <w:div w:id="454102455">
      <w:bodyDiv w:val="1"/>
      <w:marLeft w:val="0"/>
      <w:marRight w:val="0"/>
      <w:marTop w:val="0"/>
      <w:marBottom w:val="0"/>
      <w:divBdr>
        <w:top w:val="none" w:sz="0" w:space="0" w:color="auto"/>
        <w:left w:val="none" w:sz="0" w:space="0" w:color="auto"/>
        <w:bottom w:val="none" w:sz="0" w:space="0" w:color="auto"/>
        <w:right w:val="none" w:sz="0" w:space="0" w:color="auto"/>
      </w:divBdr>
    </w:div>
    <w:div w:id="493494519">
      <w:bodyDiv w:val="1"/>
      <w:marLeft w:val="0"/>
      <w:marRight w:val="0"/>
      <w:marTop w:val="0"/>
      <w:marBottom w:val="0"/>
      <w:divBdr>
        <w:top w:val="none" w:sz="0" w:space="0" w:color="auto"/>
        <w:left w:val="none" w:sz="0" w:space="0" w:color="auto"/>
        <w:bottom w:val="none" w:sz="0" w:space="0" w:color="auto"/>
        <w:right w:val="none" w:sz="0" w:space="0" w:color="auto"/>
      </w:divBdr>
    </w:div>
    <w:div w:id="568806389">
      <w:bodyDiv w:val="1"/>
      <w:marLeft w:val="0"/>
      <w:marRight w:val="0"/>
      <w:marTop w:val="0"/>
      <w:marBottom w:val="0"/>
      <w:divBdr>
        <w:top w:val="none" w:sz="0" w:space="0" w:color="auto"/>
        <w:left w:val="none" w:sz="0" w:space="0" w:color="auto"/>
        <w:bottom w:val="none" w:sz="0" w:space="0" w:color="auto"/>
        <w:right w:val="none" w:sz="0" w:space="0" w:color="auto"/>
      </w:divBdr>
    </w:div>
    <w:div w:id="569266604">
      <w:bodyDiv w:val="1"/>
      <w:marLeft w:val="0"/>
      <w:marRight w:val="0"/>
      <w:marTop w:val="0"/>
      <w:marBottom w:val="0"/>
      <w:divBdr>
        <w:top w:val="none" w:sz="0" w:space="0" w:color="auto"/>
        <w:left w:val="none" w:sz="0" w:space="0" w:color="auto"/>
        <w:bottom w:val="none" w:sz="0" w:space="0" w:color="auto"/>
        <w:right w:val="none" w:sz="0" w:space="0" w:color="auto"/>
      </w:divBdr>
    </w:div>
    <w:div w:id="617954657">
      <w:bodyDiv w:val="1"/>
      <w:marLeft w:val="0"/>
      <w:marRight w:val="0"/>
      <w:marTop w:val="0"/>
      <w:marBottom w:val="0"/>
      <w:divBdr>
        <w:top w:val="none" w:sz="0" w:space="0" w:color="auto"/>
        <w:left w:val="none" w:sz="0" w:space="0" w:color="auto"/>
        <w:bottom w:val="none" w:sz="0" w:space="0" w:color="auto"/>
        <w:right w:val="none" w:sz="0" w:space="0" w:color="auto"/>
      </w:divBdr>
    </w:div>
    <w:div w:id="662901915">
      <w:bodyDiv w:val="1"/>
      <w:marLeft w:val="0"/>
      <w:marRight w:val="0"/>
      <w:marTop w:val="0"/>
      <w:marBottom w:val="0"/>
      <w:divBdr>
        <w:top w:val="none" w:sz="0" w:space="0" w:color="auto"/>
        <w:left w:val="none" w:sz="0" w:space="0" w:color="auto"/>
        <w:bottom w:val="none" w:sz="0" w:space="0" w:color="auto"/>
        <w:right w:val="none" w:sz="0" w:space="0" w:color="auto"/>
      </w:divBdr>
    </w:div>
    <w:div w:id="699743875">
      <w:bodyDiv w:val="1"/>
      <w:marLeft w:val="0"/>
      <w:marRight w:val="0"/>
      <w:marTop w:val="0"/>
      <w:marBottom w:val="0"/>
      <w:divBdr>
        <w:top w:val="none" w:sz="0" w:space="0" w:color="auto"/>
        <w:left w:val="none" w:sz="0" w:space="0" w:color="auto"/>
        <w:bottom w:val="none" w:sz="0" w:space="0" w:color="auto"/>
        <w:right w:val="none" w:sz="0" w:space="0" w:color="auto"/>
      </w:divBdr>
    </w:div>
    <w:div w:id="706640371">
      <w:bodyDiv w:val="1"/>
      <w:marLeft w:val="0"/>
      <w:marRight w:val="0"/>
      <w:marTop w:val="0"/>
      <w:marBottom w:val="0"/>
      <w:divBdr>
        <w:top w:val="none" w:sz="0" w:space="0" w:color="auto"/>
        <w:left w:val="none" w:sz="0" w:space="0" w:color="auto"/>
        <w:bottom w:val="none" w:sz="0" w:space="0" w:color="auto"/>
        <w:right w:val="none" w:sz="0" w:space="0" w:color="auto"/>
      </w:divBdr>
    </w:div>
    <w:div w:id="784618012">
      <w:bodyDiv w:val="1"/>
      <w:marLeft w:val="0"/>
      <w:marRight w:val="0"/>
      <w:marTop w:val="0"/>
      <w:marBottom w:val="0"/>
      <w:divBdr>
        <w:top w:val="none" w:sz="0" w:space="0" w:color="auto"/>
        <w:left w:val="none" w:sz="0" w:space="0" w:color="auto"/>
        <w:bottom w:val="none" w:sz="0" w:space="0" w:color="auto"/>
        <w:right w:val="none" w:sz="0" w:space="0" w:color="auto"/>
      </w:divBdr>
    </w:div>
    <w:div w:id="787044493">
      <w:bodyDiv w:val="1"/>
      <w:marLeft w:val="0"/>
      <w:marRight w:val="0"/>
      <w:marTop w:val="0"/>
      <w:marBottom w:val="0"/>
      <w:divBdr>
        <w:top w:val="none" w:sz="0" w:space="0" w:color="auto"/>
        <w:left w:val="none" w:sz="0" w:space="0" w:color="auto"/>
        <w:bottom w:val="none" w:sz="0" w:space="0" w:color="auto"/>
        <w:right w:val="none" w:sz="0" w:space="0" w:color="auto"/>
      </w:divBdr>
    </w:div>
    <w:div w:id="885221275">
      <w:bodyDiv w:val="1"/>
      <w:marLeft w:val="0"/>
      <w:marRight w:val="0"/>
      <w:marTop w:val="0"/>
      <w:marBottom w:val="0"/>
      <w:divBdr>
        <w:top w:val="none" w:sz="0" w:space="0" w:color="auto"/>
        <w:left w:val="none" w:sz="0" w:space="0" w:color="auto"/>
        <w:bottom w:val="none" w:sz="0" w:space="0" w:color="auto"/>
        <w:right w:val="none" w:sz="0" w:space="0" w:color="auto"/>
      </w:divBdr>
    </w:div>
    <w:div w:id="886261948">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sChild>
    </w:div>
    <w:div w:id="933248448">
      <w:bodyDiv w:val="1"/>
      <w:marLeft w:val="0"/>
      <w:marRight w:val="0"/>
      <w:marTop w:val="0"/>
      <w:marBottom w:val="0"/>
      <w:divBdr>
        <w:top w:val="none" w:sz="0" w:space="0" w:color="auto"/>
        <w:left w:val="none" w:sz="0" w:space="0" w:color="auto"/>
        <w:bottom w:val="none" w:sz="0" w:space="0" w:color="auto"/>
        <w:right w:val="none" w:sz="0" w:space="0" w:color="auto"/>
      </w:divBdr>
    </w:div>
    <w:div w:id="1007514072">
      <w:bodyDiv w:val="1"/>
      <w:marLeft w:val="0"/>
      <w:marRight w:val="0"/>
      <w:marTop w:val="0"/>
      <w:marBottom w:val="0"/>
      <w:divBdr>
        <w:top w:val="none" w:sz="0" w:space="0" w:color="auto"/>
        <w:left w:val="none" w:sz="0" w:space="0" w:color="auto"/>
        <w:bottom w:val="none" w:sz="0" w:space="0" w:color="auto"/>
        <w:right w:val="none" w:sz="0" w:space="0" w:color="auto"/>
      </w:divBdr>
      <w:divsChild>
        <w:div w:id="1861315963">
          <w:marLeft w:val="331"/>
          <w:marRight w:val="0"/>
          <w:marTop w:val="0"/>
          <w:marBottom w:val="120"/>
          <w:divBdr>
            <w:top w:val="none" w:sz="0" w:space="0" w:color="auto"/>
            <w:left w:val="none" w:sz="0" w:space="0" w:color="auto"/>
            <w:bottom w:val="none" w:sz="0" w:space="0" w:color="auto"/>
            <w:right w:val="none" w:sz="0" w:space="0" w:color="auto"/>
          </w:divBdr>
        </w:div>
      </w:divsChild>
    </w:div>
    <w:div w:id="1012561424">
      <w:bodyDiv w:val="1"/>
      <w:marLeft w:val="0"/>
      <w:marRight w:val="0"/>
      <w:marTop w:val="0"/>
      <w:marBottom w:val="0"/>
      <w:divBdr>
        <w:top w:val="none" w:sz="0" w:space="0" w:color="auto"/>
        <w:left w:val="none" w:sz="0" w:space="0" w:color="auto"/>
        <w:bottom w:val="none" w:sz="0" w:space="0" w:color="auto"/>
        <w:right w:val="none" w:sz="0" w:space="0" w:color="auto"/>
      </w:divBdr>
    </w:div>
    <w:div w:id="1083063022">
      <w:bodyDiv w:val="1"/>
      <w:marLeft w:val="0"/>
      <w:marRight w:val="0"/>
      <w:marTop w:val="0"/>
      <w:marBottom w:val="0"/>
      <w:divBdr>
        <w:top w:val="none" w:sz="0" w:space="0" w:color="auto"/>
        <w:left w:val="none" w:sz="0" w:space="0" w:color="auto"/>
        <w:bottom w:val="none" w:sz="0" w:space="0" w:color="auto"/>
        <w:right w:val="none" w:sz="0" w:space="0" w:color="auto"/>
      </w:divBdr>
    </w:div>
    <w:div w:id="1165121455">
      <w:bodyDiv w:val="1"/>
      <w:marLeft w:val="0"/>
      <w:marRight w:val="0"/>
      <w:marTop w:val="0"/>
      <w:marBottom w:val="0"/>
      <w:divBdr>
        <w:top w:val="none" w:sz="0" w:space="0" w:color="auto"/>
        <w:left w:val="none" w:sz="0" w:space="0" w:color="auto"/>
        <w:bottom w:val="none" w:sz="0" w:space="0" w:color="auto"/>
        <w:right w:val="none" w:sz="0" w:space="0" w:color="auto"/>
      </w:divBdr>
      <w:divsChild>
        <w:div w:id="1700743929">
          <w:marLeft w:val="0"/>
          <w:marRight w:val="0"/>
          <w:marTop w:val="0"/>
          <w:marBottom w:val="0"/>
          <w:divBdr>
            <w:top w:val="none" w:sz="0" w:space="0" w:color="auto"/>
            <w:left w:val="none" w:sz="0" w:space="0" w:color="auto"/>
            <w:bottom w:val="none" w:sz="0" w:space="0" w:color="auto"/>
            <w:right w:val="none" w:sz="0" w:space="0" w:color="auto"/>
          </w:divBdr>
        </w:div>
      </w:divsChild>
    </w:div>
    <w:div w:id="1200629653">
      <w:bodyDiv w:val="1"/>
      <w:marLeft w:val="0"/>
      <w:marRight w:val="0"/>
      <w:marTop w:val="0"/>
      <w:marBottom w:val="0"/>
      <w:divBdr>
        <w:top w:val="none" w:sz="0" w:space="0" w:color="auto"/>
        <w:left w:val="none" w:sz="0" w:space="0" w:color="auto"/>
        <w:bottom w:val="none" w:sz="0" w:space="0" w:color="auto"/>
        <w:right w:val="none" w:sz="0" w:space="0" w:color="auto"/>
      </w:divBdr>
    </w:div>
    <w:div w:id="1275864989">
      <w:bodyDiv w:val="1"/>
      <w:marLeft w:val="0"/>
      <w:marRight w:val="0"/>
      <w:marTop w:val="0"/>
      <w:marBottom w:val="0"/>
      <w:divBdr>
        <w:top w:val="none" w:sz="0" w:space="0" w:color="auto"/>
        <w:left w:val="none" w:sz="0" w:space="0" w:color="auto"/>
        <w:bottom w:val="none" w:sz="0" w:space="0" w:color="auto"/>
        <w:right w:val="none" w:sz="0" w:space="0" w:color="auto"/>
      </w:divBdr>
    </w:div>
    <w:div w:id="1277904657">
      <w:bodyDiv w:val="1"/>
      <w:marLeft w:val="0"/>
      <w:marRight w:val="0"/>
      <w:marTop w:val="0"/>
      <w:marBottom w:val="0"/>
      <w:divBdr>
        <w:top w:val="none" w:sz="0" w:space="0" w:color="auto"/>
        <w:left w:val="none" w:sz="0" w:space="0" w:color="auto"/>
        <w:bottom w:val="none" w:sz="0" w:space="0" w:color="auto"/>
        <w:right w:val="none" w:sz="0" w:space="0" w:color="auto"/>
      </w:divBdr>
    </w:div>
    <w:div w:id="1340693675">
      <w:bodyDiv w:val="1"/>
      <w:marLeft w:val="0"/>
      <w:marRight w:val="0"/>
      <w:marTop w:val="0"/>
      <w:marBottom w:val="0"/>
      <w:divBdr>
        <w:top w:val="none" w:sz="0" w:space="0" w:color="auto"/>
        <w:left w:val="none" w:sz="0" w:space="0" w:color="auto"/>
        <w:bottom w:val="none" w:sz="0" w:space="0" w:color="auto"/>
        <w:right w:val="none" w:sz="0" w:space="0" w:color="auto"/>
      </w:divBdr>
    </w:div>
    <w:div w:id="1422490449">
      <w:bodyDiv w:val="1"/>
      <w:marLeft w:val="0"/>
      <w:marRight w:val="0"/>
      <w:marTop w:val="0"/>
      <w:marBottom w:val="0"/>
      <w:divBdr>
        <w:top w:val="none" w:sz="0" w:space="0" w:color="auto"/>
        <w:left w:val="none" w:sz="0" w:space="0" w:color="auto"/>
        <w:bottom w:val="none" w:sz="0" w:space="0" w:color="auto"/>
        <w:right w:val="none" w:sz="0" w:space="0" w:color="auto"/>
      </w:divBdr>
    </w:div>
    <w:div w:id="1462573577">
      <w:bodyDiv w:val="1"/>
      <w:marLeft w:val="0"/>
      <w:marRight w:val="0"/>
      <w:marTop w:val="0"/>
      <w:marBottom w:val="0"/>
      <w:divBdr>
        <w:top w:val="none" w:sz="0" w:space="0" w:color="auto"/>
        <w:left w:val="none" w:sz="0" w:space="0" w:color="auto"/>
        <w:bottom w:val="none" w:sz="0" w:space="0" w:color="auto"/>
        <w:right w:val="none" w:sz="0" w:space="0" w:color="auto"/>
      </w:divBdr>
    </w:div>
    <w:div w:id="1477724204">
      <w:bodyDiv w:val="1"/>
      <w:marLeft w:val="0"/>
      <w:marRight w:val="0"/>
      <w:marTop w:val="0"/>
      <w:marBottom w:val="0"/>
      <w:divBdr>
        <w:top w:val="none" w:sz="0" w:space="0" w:color="auto"/>
        <w:left w:val="none" w:sz="0" w:space="0" w:color="auto"/>
        <w:bottom w:val="none" w:sz="0" w:space="0" w:color="auto"/>
        <w:right w:val="none" w:sz="0" w:space="0" w:color="auto"/>
      </w:divBdr>
    </w:div>
    <w:div w:id="1507329303">
      <w:bodyDiv w:val="1"/>
      <w:marLeft w:val="0"/>
      <w:marRight w:val="0"/>
      <w:marTop w:val="0"/>
      <w:marBottom w:val="0"/>
      <w:divBdr>
        <w:top w:val="none" w:sz="0" w:space="0" w:color="auto"/>
        <w:left w:val="none" w:sz="0" w:space="0" w:color="auto"/>
        <w:bottom w:val="none" w:sz="0" w:space="0" w:color="auto"/>
        <w:right w:val="none" w:sz="0" w:space="0" w:color="auto"/>
      </w:divBdr>
      <w:divsChild>
        <w:div w:id="679236060">
          <w:marLeft w:val="0"/>
          <w:marRight w:val="0"/>
          <w:marTop w:val="0"/>
          <w:marBottom w:val="0"/>
          <w:divBdr>
            <w:top w:val="none" w:sz="0" w:space="0" w:color="auto"/>
            <w:left w:val="none" w:sz="0" w:space="0" w:color="auto"/>
            <w:bottom w:val="none" w:sz="0" w:space="0" w:color="auto"/>
            <w:right w:val="none" w:sz="0" w:space="0" w:color="auto"/>
          </w:divBdr>
        </w:div>
      </w:divsChild>
    </w:div>
    <w:div w:id="1573084511">
      <w:bodyDiv w:val="1"/>
      <w:marLeft w:val="0"/>
      <w:marRight w:val="0"/>
      <w:marTop w:val="0"/>
      <w:marBottom w:val="0"/>
      <w:divBdr>
        <w:top w:val="none" w:sz="0" w:space="0" w:color="auto"/>
        <w:left w:val="none" w:sz="0" w:space="0" w:color="auto"/>
        <w:bottom w:val="none" w:sz="0" w:space="0" w:color="auto"/>
        <w:right w:val="none" w:sz="0" w:space="0" w:color="auto"/>
      </w:divBdr>
    </w:div>
    <w:div w:id="1597520012">
      <w:bodyDiv w:val="1"/>
      <w:marLeft w:val="0"/>
      <w:marRight w:val="0"/>
      <w:marTop w:val="0"/>
      <w:marBottom w:val="0"/>
      <w:divBdr>
        <w:top w:val="none" w:sz="0" w:space="0" w:color="auto"/>
        <w:left w:val="none" w:sz="0" w:space="0" w:color="auto"/>
        <w:bottom w:val="none" w:sz="0" w:space="0" w:color="auto"/>
        <w:right w:val="none" w:sz="0" w:space="0" w:color="auto"/>
      </w:divBdr>
    </w:div>
    <w:div w:id="1621296734">
      <w:bodyDiv w:val="1"/>
      <w:marLeft w:val="0"/>
      <w:marRight w:val="0"/>
      <w:marTop w:val="0"/>
      <w:marBottom w:val="0"/>
      <w:divBdr>
        <w:top w:val="none" w:sz="0" w:space="0" w:color="auto"/>
        <w:left w:val="none" w:sz="0" w:space="0" w:color="auto"/>
        <w:bottom w:val="none" w:sz="0" w:space="0" w:color="auto"/>
        <w:right w:val="none" w:sz="0" w:space="0" w:color="auto"/>
      </w:divBdr>
    </w:div>
    <w:div w:id="1642727900">
      <w:bodyDiv w:val="1"/>
      <w:marLeft w:val="0"/>
      <w:marRight w:val="0"/>
      <w:marTop w:val="0"/>
      <w:marBottom w:val="0"/>
      <w:divBdr>
        <w:top w:val="none" w:sz="0" w:space="0" w:color="auto"/>
        <w:left w:val="none" w:sz="0" w:space="0" w:color="auto"/>
        <w:bottom w:val="none" w:sz="0" w:space="0" w:color="auto"/>
        <w:right w:val="none" w:sz="0" w:space="0" w:color="auto"/>
      </w:divBdr>
    </w:div>
    <w:div w:id="1740640241">
      <w:bodyDiv w:val="1"/>
      <w:marLeft w:val="0"/>
      <w:marRight w:val="0"/>
      <w:marTop w:val="0"/>
      <w:marBottom w:val="0"/>
      <w:divBdr>
        <w:top w:val="none" w:sz="0" w:space="0" w:color="auto"/>
        <w:left w:val="none" w:sz="0" w:space="0" w:color="auto"/>
        <w:bottom w:val="none" w:sz="0" w:space="0" w:color="auto"/>
        <w:right w:val="none" w:sz="0" w:space="0" w:color="auto"/>
      </w:divBdr>
    </w:div>
    <w:div w:id="1742633651">
      <w:bodyDiv w:val="1"/>
      <w:marLeft w:val="0"/>
      <w:marRight w:val="0"/>
      <w:marTop w:val="0"/>
      <w:marBottom w:val="0"/>
      <w:divBdr>
        <w:top w:val="none" w:sz="0" w:space="0" w:color="auto"/>
        <w:left w:val="none" w:sz="0" w:space="0" w:color="auto"/>
        <w:bottom w:val="none" w:sz="0" w:space="0" w:color="auto"/>
        <w:right w:val="none" w:sz="0" w:space="0" w:color="auto"/>
      </w:divBdr>
    </w:div>
    <w:div w:id="1842507493">
      <w:bodyDiv w:val="1"/>
      <w:marLeft w:val="0"/>
      <w:marRight w:val="0"/>
      <w:marTop w:val="0"/>
      <w:marBottom w:val="0"/>
      <w:divBdr>
        <w:top w:val="none" w:sz="0" w:space="0" w:color="auto"/>
        <w:left w:val="none" w:sz="0" w:space="0" w:color="auto"/>
        <w:bottom w:val="none" w:sz="0" w:space="0" w:color="auto"/>
        <w:right w:val="none" w:sz="0" w:space="0" w:color="auto"/>
      </w:divBdr>
    </w:div>
    <w:div w:id="1847670812">
      <w:bodyDiv w:val="1"/>
      <w:marLeft w:val="0"/>
      <w:marRight w:val="0"/>
      <w:marTop w:val="0"/>
      <w:marBottom w:val="0"/>
      <w:divBdr>
        <w:top w:val="none" w:sz="0" w:space="0" w:color="auto"/>
        <w:left w:val="none" w:sz="0" w:space="0" w:color="auto"/>
        <w:bottom w:val="none" w:sz="0" w:space="0" w:color="auto"/>
        <w:right w:val="none" w:sz="0" w:space="0" w:color="auto"/>
      </w:divBdr>
    </w:div>
    <w:div w:id="1871608530">
      <w:bodyDiv w:val="1"/>
      <w:marLeft w:val="0"/>
      <w:marRight w:val="0"/>
      <w:marTop w:val="0"/>
      <w:marBottom w:val="0"/>
      <w:divBdr>
        <w:top w:val="none" w:sz="0" w:space="0" w:color="auto"/>
        <w:left w:val="none" w:sz="0" w:space="0" w:color="auto"/>
        <w:bottom w:val="none" w:sz="0" w:space="0" w:color="auto"/>
        <w:right w:val="none" w:sz="0" w:space="0" w:color="auto"/>
      </w:divBdr>
    </w:div>
    <w:div w:id="2119829923">
      <w:bodyDiv w:val="1"/>
      <w:marLeft w:val="0"/>
      <w:marRight w:val="0"/>
      <w:marTop w:val="0"/>
      <w:marBottom w:val="0"/>
      <w:divBdr>
        <w:top w:val="none" w:sz="0" w:space="0" w:color="auto"/>
        <w:left w:val="none" w:sz="0" w:space="0" w:color="auto"/>
        <w:bottom w:val="none" w:sz="0" w:space="0" w:color="auto"/>
        <w:right w:val="none" w:sz="0" w:space="0" w:color="auto"/>
      </w:divBdr>
    </w:div>
    <w:div w:id="2140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dei.gr" TargetMode="External"/><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hyperlink" Target="mailto:ir@ppcgroup.com" TargetMode="External"/><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20" ma:contentTypeDescription="Δημιουργία νέου εγγράφου" ma:contentTypeScope="" ma:versionID="e39ce4dff06c5d1501f96686d94f339f">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a9b3cb088f9749417b872dcdc11360e1"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e3957d-0996-4bd8-adeb-86c932f9cb50}"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2B620-97D9-4539-9773-74CA7BD2B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E97F6-0ADB-4EED-A5EB-CFA6B4A1D925}">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customXml/itemProps3.xml><?xml version="1.0" encoding="utf-8"?>
<ds:datastoreItem xmlns:ds="http://schemas.openxmlformats.org/officeDocument/2006/customXml" ds:itemID="{60FB2FCB-7B41-4761-9AA7-76D41FD382B9}">
  <ds:schemaRefs>
    <ds:schemaRef ds:uri="http://schemas.microsoft.com/sharepoint/v3/contenttype/forms"/>
  </ds:schemaRefs>
</ds:datastoreItem>
</file>

<file path=customXml/itemProps4.xml><?xml version="1.0" encoding="utf-8"?>
<ds:datastoreItem xmlns:ds="http://schemas.openxmlformats.org/officeDocument/2006/customXml" ds:itemID="{122414C3-897F-CA45-994C-929EB21B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Pages>
  <Words>3019</Words>
  <Characters>17210</Characters>
  <Application>Microsoft Office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20189</CharactersWithSpaces>
  <SharedDoc>false</SharedDoc>
  <HLinks>
    <vt:vector size="12" baseType="variant">
      <vt:variant>
        <vt:i4>1245238</vt:i4>
      </vt:variant>
      <vt:variant>
        <vt:i4>3</vt:i4>
      </vt:variant>
      <vt:variant>
        <vt:i4>0</vt:i4>
      </vt:variant>
      <vt:variant>
        <vt:i4>5</vt:i4>
      </vt:variant>
      <vt:variant>
        <vt:lpwstr>mailto:information@dei.gr</vt:lpwstr>
      </vt:variant>
      <vt:variant>
        <vt:lpwstr/>
      </vt:variant>
      <vt:variant>
        <vt:i4>5046381</vt:i4>
      </vt:variant>
      <vt:variant>
        <vt:i4>0</vt:i4>
      </vt:variant>
      <vt:variant>
        <vt:i4>0</vt:i4>
      </vt:variant>
      <vt:variant>
        <vt:i4>5</vt:i4>
      </vt:variant>
      <vt:variant>
        <vt:lpwstr>mailto:ir@ppcgroup.com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Chatzakis Emmanouil</cp:lastModifiedBy>
  <cp:revision>71</cp:revision>
  <cp:lastPrinted>2024-05-30T10:08:00Z</cp:lastPrinted>
  <dcterms:created xsi:type="dcterms:W3CDTF">2025-05-20T10:47:00Z</dcterms:created>
  <dcterms:modified xsi:type="dcterms:W3CDTF">2025-05-20T11:08:00Z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0x010100156DD0188A2F454B943ADEE99353ADCA</vt:lpwstr>
  </property>
  <property fmtid="{D5CDD505-2E9C-101B-9397-08002B2CF9AE}" pid="3" name="MediaServiceImageTags">
    <vt:lpwstr/>
  </property>
</Properties>
</file>